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15" w:rsidRPr="00506F2B" w:rsidRDefault="00241D15" w:rsidP="00506F2B">
      <w:pPr>
        <w:jc w:val="center"/>
        <w:rPr>
          <w:b/>
          <w:sz w:val="28"/>
          <w:szCs w:val="28"/>
          <w:lang w:val="uk-UA"/>
        </w:rPr>
      </w:pPr>
      <w:r w:rsidRPr="00506F2B">
        <w:rPr>
          <w:b/>
          <w:sz w:val="28"/>
          <w:szCs w:val="28"/>
          <w:lang w:val="uk-UA"/>
        </w:rPr>
        <w:t>АКАДЕМІЯ АДВОКАТУРИ УКРАЇНИ</w:t>
      </w:r>
    </w:p>
    <w:p w:rsidR="00241D15" w:rsidRPr="00506F2B" w:rsidRDefault="00241D15" w:rsidP="00506F2B">
      <w:pPr>
        <w:jc w:val="center"/>
        <w:rPr>
          <w:sz w:val="28"/>
          <w:szCs w:val="28"/>
          <w:lang w:val="uk-UA"/>
        </w:rPr>
      </w:pPr>
      <w:r w:rsidRPr="00506F2B">
        <w:rPr>
          <w:sz w:val="28"/>
          <w:szCs w:val="28"/>
          <w:lang w:val="uk-UA"/>
        </w:rPr>
        <w:t>Кафедра адвокатської майстерності та</w:t>
      </w:r>
      <w:r w:rsidR="00506F2B" w:rsidRPr="00506F2B">
        <w:rPr>
          <w:sz w:val="28"/>
          <w:szCs w:val="28"/>
          <w:lang w:val="uk-UA"/>
        </w:rPr>
        <w:t xml:space="preserve"> міжнародної юридичної практики</w:t>
      </w:r>
    </w:p>
    <w:p w:rsidR="00506F2B" w:rsidRPr="00506F2B" w:rsidRDefault="00506F2B" w:rsidP="00506F2B">
      <w:pPr>
        <w:jc w:val="center"/>
        <w:rPr>
          <w:sz w:val="28"/>
          <w:szCs w:val="28"/>
          <w:lang w:val="uk-UA"/>
        </w:rPr>
      </w:pPr>
    </w:p>
    <w:p w:rsidR="00241D15" w:rsidRPr="00506F2B" w:rsidRDefault="00241D15" w:rsidP="00506F2B">
      <w:pPr>
        <w:jc w:val="center"/>
        <w:rPr>
          <w:b/>
          <w:sz w:val="28"/>
          <w:szCs w:val="28"/>
          <w:lang w:val="uk-UA"/>
        </w:rPr>
      </w:pPr>
      <w:r w:rsidRPr="00506F2B">
        <w:rPr>
          <w:b/>
          <w:sz w:val="28"/>
          <w:szCs w:val="28"/>
          <w:lang w:val="uk-UA"/>
        </w:rPr>
        <w:t>ПОРІВНЯЛЬНИЙ ЦИВІЛЬНИЙ ПРОЦЕС</w:t>
      </w:r>
    </w:p>
    <w:p w:rsidR="00506F2B" w:rsidRPr="00506F2B" w:rsidRDefault="00506F2B" w:rsidP="00506F2B">
      <w:pPr>
        <w:jc w:val="center"/>
        <w:rPr>
          <w:sz w:val="28"/>
          <w:szCs w:val="28"/>
          <w:lang w:val="uk-UA"/>
        </w:rPr>
      </w:pPr>
      <w:r w:rsidRPr="00506F2B">
        <w:rPr>
          <w:sz w:val="28"/>
          <w:szCs w:val="28"/>
          <w:lang w:val="uk-UA"/>
        </w:rPr>
        <w:t>(</w:t>
      </w:r>
      <w:proofErr w:type="spellStart"/>
      <w:r w:rsidRPr="00506F2B">
        <w:rPr>
          <w:sz w:val="28"/>
          <w:szCs w:val="28"/>
          <w:lang w:val="uk-UA"/>
        </w:rPr>
        <w:t>силабус</w:t>
      </w:r>
      <w:proofErr w:type="spellEnd"/>
      <w:r w:rsidRPr="00506F2B">
        <w:rPr>
          <w:sz w:val="28"/>
          <w:szCs w:val="28"/>
          <w:lang w:val="uk-UA"/>
        </w:rPr>
        <w:t xml:space="preserve"> навчальної дисципліни)</w:t>
      </w:r>
    </w:p>
    <w:p w:rsidR="00506F2B" w:rsidRPr="00506F2B" w:rsidRDefault="00506F2B" w:rsidP="00506F2B">
      <w:pPr>
        <w:jc w:val="center"/>
        <w:rPr>
          <w:sz w:val="28"/>
          <w:szCs w:val="28"/>
          <w:u w:val="single"/>
          <w:lang w:val="uk-UA"/>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38"/>
        <w:gridCol w:w="649"/>
        <w:gridCol w:w="2557"/>
        <w:gridCol w:w="992"/>
        <w:gridCol w:w="992"/>
        <w:gridCol w:w="1276"/>
        <w:gridCol w:w="981"/>
        <w:gridCol w:w="11"/>
        <w:gridCol w:w="25"/>
      </w:tblGrid>
      <w:tr w:rsidR="00241D15" w:rsidRPr="00506F2B" w:rsidTr="00865403">
        <w:trPr>
          <w:gridAfter w:val="2"/>
          <w:wAfter w:w="36" w:type="dxa"/>
        </w:trPr>
        <w:tc>
          <w:tcPr>
            <w:tcW w:w="9345" w:type="dxa"/>
            <w:gridSpan w:val="8"/>
          </w:tcPr>
          <w:p w:rsidR="00241D15" w:rsidRPr="00506F2B" w:rsidRDefault="00241D15" w:rsidP="00506F2B">
            <w:pPr>
              <w:jc w:val="center"/>
              <w:rPr>
                <w:sz w:val="28"/>
                <w:szCs w:val="28"/>
                <w:lang w:val="uk-UA"/>
              </w:rPr>
            </w:pPr>
            <w:r w:rsidRPr="00506F2B">
              <w:rPr>
                <w:b/>
                <w:sz w:val="28"/>
                <w:szCs w:val="28"/>
                <w:lang w:val="uk-UA"/>
              </w:rPr>
              <w:t>1. Загальна інформація</w:t>
            </w:r>
          </w:p>
        </w:tc>
      </w:tr>
      <w:tr w:rsidR="00241D15" w:rsidRPr="00506F2B" w:rsidTr="00865403">
        <w:trPr>
          <w:gridAfter w:val="2"/>
          <w:wAfter w:w="36" w:type="dxa"/>
        </w:trPr>
        <w:tc>
          <w:tcPr>
            <w:tcW w:w="2547" w:type="dxa"/>
            <w:gridSpan w:val="3"/>
          </w:tcPr>
          <w:p w:rsidR="00241D15" w:rsidRPr="00506F2B" w:rsidRDefault="00241D15" w:rsidP="00506F2B">
            <w:pPr>
              <w:rPr>
                <w:b/>
                <w:sz w:val="28"/>
                <w:szCs w:val="28"/>
                <w:lang w:val="uk-UA"/>
              </w:rPr>
            </w:pPr>
            <w:r w:rsidRPr="00506F2B">
              <w:rPr>
                <w:b/>
                <w:sz w:val="28"/>
                <w:szCs w:val="28"/>
                <w:lang w:val="uk-UA"/>
              </w:rPr>
              <w:t>Назва дисципліни</w:t>
            </w:r>
          </w:p>
        </w:tc>
        <w:tc>
          <w:tcPr>
            <w:tcW w:w="6798" w:type="dxa"/>
            <w:gridSpan w:val="5"/>
          </w:tcPr>
          <w:p w:rsidR="00241D15" w:rsidRPr="00506F2B" w:rsidRDefault="00241D15" w:rsidP="00506F2B">
            <w:pPr>
              <w:jc w:val="both"/>
              <w:rPr>
                <w:sz w:val="28"/>
                <w:szCs w:val="28"/>
                <w:lang w:val="uk-UA"/>
              </w:rPr>
            </w:pPr>
            <w:r w:rsidRPr="00506F2B">
              <w:rPr>
                <w:sz w:val="28"/>
                <w:szCs w:val="28"/>
                <w:lang w:val="uk-UA"/>
              </w:rPr>
              <w:t>Порівняльний цивільний процес</w:t>
            </w:r>
          </w:p>
        </w:tc>
      </w:tr>
      <w:tr w:rsidR="00241D15" w:rsidRPr="00506F2B" w:rsidTr="00865403">
        <w:trPr>
          <w:gridAfter w:val="2"/>
          <w:wAfter w:w="36" w:type="dxa"/>
        </w:trPr>
        <w:tc>
          <w:tcPr>
            <w:tcW w:w="2547" w:type="dxa"/>
            <w:gridSpan w:val="3"/>
          </w:tcPr>
          <w:p w:rsidR="00241D15" w:rsidRPr="00506F2B" w:rsidRDefault="00241D15" w:rsidP="00506F2B">
            <w:pPr>
              <w:rPr>
                <w:b/>
                <w:sz w:val="28"/>
                <w:szCs w:val="28"/>
                <w:lang w:val="uk-UA"/>
              </w:rPr>
            </w:pPr>
            <w:r w:rsidRPr="00506F2B">
              <w:rPr>
                <w:b/>
                <w:sz w:val="28"/>
                <w:szCs w:val="28"/>
                <w:lang w:val="uk-UA"/>
              </w:rPr>
              <w:t>Викладач (-і)</w:t>
            </w:r>
          </w:p>
        </w:tc>
        <w:tc>
          <w:tcPr>
            <w:tcW w:w="6798" w:type="dxa"/>
            <w:gridSpan w:val="5"/>
          </w:tcPr>
          <w:p w:rsidR="00241D15" w:rsidRPr="00506F2B" w:rsidRDefault="00241D15" w:rsidP="00506F2B">
            <w:pPr>
              <w:jc w:val="both"/>
              <w:rPr>
                <w:sz w:val="28"/>
                <w:szCs w:val="28"/>
                <w:lang w:val="uk-UA"/>
              </w:rPr>
            </w:pPr>
            <w:proofErr w:type="spellStart"/>
            <w:r w:rsidRPr="00506F2B">
              <w:rPr>
                <w:sz w:val="28"/>
                <w:szCs w:val="28"/>
                <w:lang w:val="uk-UA"/>
              </w:rPr>
              <w:t>Єрєгян</w:t>
            </w:r>
            <w:proofErr w:type="spellEnd"/>
            <w:r w:rsidR="006B5D61" w:rsidRPr="00506F2B">
              <w:rPr>
                <w:sz w:val="28"/>
                <w:szCs w:val="28"/>
                <w:lang w:val="uk-UA"/>
              </w:rPr>
              <w:t xml:space="preserve"> </w:t>
            </w:r>
            <w:proofErr w:type="spellStart"/>
            <w:r w:rsidRPr="00506F2B">
              <w:rPr>
                <w:sz w:val="28"/>
                <w:szCs w:val="28"/>
                <w:lang w:val="uk-UA"/>
              </w:rPr>
              <w:t>Анаіда</w:t>
            </w:r>
            <w:proofErr w:type="spellEnd"/>
            <w:r w:rsidRPr="00506F2B">
              <w:rPr>
                <w:sz w:val="28"/>
                <w:szCs w:val="28"/>
                <w:lang w:val="uk-UA"/>
              </w:rPr>
              <w:t xml:space="preserve"> Робертівна, ст.</w:t>
            </w:r>
            <w:r w:rsidR="00AA2615">
              <w:rPr>
                <w:sz w:val="28"/>
                <w:szCs w:val="28"/>
                <w:lang w:val="uk-UA"/>
              </w:rPr>
              <w:t> </w:t>
            </w:r>
            <w:r w:rsidRPr="00506F2B">
              <w:rPr>
                <w:sz w:val="28"/>
                <w:szCs w:val="28"/>
                <w:lang w:val="uk-UA"/>
              </w:rPr>
              <w:t>викладач кафедри адвокатської майстерності та міжнародної юридичної практики</w:t>
            </w:r>
          </w:p>
        </w:tc>
      </w:tr>
      <w:tr w:rsidR="00241D15" w:rsidRPr="00506F2B" w:rsidTr="00865403">
        <w:trPr>
          <w:gridAfter w:val="2"/>
          <w:wAfter w:w="36" w:type="dxa"/>
        </w:trPr>
        <w:tc>
          <w:tcPr>
            <w:tcW w:w="2547" w:type="dxa"/>
            <w:gridSpan w:val="3"/>
          </w:tcPr>
          <w:p w:rsidR="00241D15" w:rsidRPr="00506F2B" w:rsidRDefault="00241D15" w:rsidP="00506F2B">
            <w:pPr>
              <w:rPr>
                <w:b/>
                <w:sz w:val="28"/>
                <w:szCs w:val="28"/>
                <w:lang w:val="uk-UA"/>
              </w:rPr>
            </w:pPr>
            <w:r w:rsidRPr="00506F2B">
              <w:rPr>
                <w:b/>
                <w:sz w:val="28"/>
                <w:szCs w:val="28"/>
                <w:lang w:val="uk-UA"/>
              </w:rPr>
              <w:t>Контактний телефон викладача</w:t>
            </w:r>
          </w:p>
        </w:tc>
        <w:tc>
          <w:tcPr>
            <w:tcW w:w="6798" w:type="dxa"/>
            <w:gridSpan w:val="5"/>
          </w:tcPr>
          <w:p w:rsidR="00241D15" w:rsidRPr="00506F2B" w:rsidRDefault="00241D15" w:rsidP="00506F2B">
            <w:pPr>
              <w:jc w:val="both"/>
              <w:rPr>
                <w:sz w:val="28"/>
                <w:szCs w:val="28"/>
                <w:lang w:val="uk-UA"/>
              </w:rPr>
            </w:pPr>
            <w:r w:rsidRPr="00506F2B">
              <w:rPr>
                <w:sz w:val="28"/>
                <w:szCs w:val="28"/>
                <w:lang w:val="uk-UA"/>
              </w:rPr>
              <w:t>(044) 288 05 29</w:t>
            </w:r>
          </w:p>
        </w:tc>
      </w:tr>
      <w:tr w:rsidR="00241D15" w:rsidRPr="00506F2B" w:rsidTr="00865403">
        <w:trPr>
          <w:gridAfter w:val="2"/>
          <w:wAfter w:w="36" w:type="dxa"/>
        </w:trPr>
        <w:tc>
          <w:tcPr>
            <w:tcW w:w="2547" w:type="dxa"/>
            <w:gridSpan w:val="3"/>
          </w:tcPr>
          <w:p w:rsidR="00241D15" w:rsidRPr="00506F2B" w:rsidRDefault="00241D15" w:rsidP="00506F2B">
            <w:pPr>
              <w:rPr>
                <w:b/>
                <w:sz w:val="28"/>
                <w:szCs w:val="28"/>
                <w:lang w:val="uk-UA"/>
              </w:rPr>
            </w:pPr>
            <w:r w:rsidRPr="00506F2B">
              <w:rPr>
                <w:b/>
                <w:sz w:val="28"/>
                <w:szCs w:val="28"/>
                <w:lang w:val="uk-UA"/>
              </w:rPr>
              <w:t>E-</w:t>
            </w:r>
            <w:proofErr w:type="spellStart"/>
            <w:r w:rsidRPr="00506F2B">
              <w:rPr>
                <w:b/>
                <w:sz w:val="28"/>
                <w:szCs w:val="28"/>
                <w:lang w:val="uk-UA"/>
              </w:rPr>
              <w:t>mailвикладача</w:t>
            </w:r>
            <w:proofErr w:type="spellEnd"/>
          </w:p>
        </w:tc>
        <w:tc>
          <w:tcPr>
            <w:tcW w:w="6798" w:type="dxa"/>
            <w:gridSpan w:val="5"/>
          </w:tcPr>
          <w:p w:rsidR="00241D15" w:rsidRPr="00506F2B" w:rsidRDefault="00241D15" w:rsidP="00506F2B">
            <w:pPr>
              <w:jc w:val="both"/>
              <w:rPr>
                <w:color w:val="666666"/>
                <w:sz w:val="28"/>
                <w:szCs w:val="28"/>
                <w:lang w:val="uk-UA"/>
              </w:rPr>
            </w:pPr>
            <w:hyperlink r:id="rId5" w:history="1">
              <w:r w:rsidRPr="00506F2B">
                <w:rPr>
                  <w:rStyle w:val="a4"/>
                  <w:sz w:val="28"/>
                  <w:szCs w:val="28"/>
                  <w:lang w:val="uk-UA"/>
                </w:rPr>
                <w:t>A.Eregian@aau.edu.ua</w:t>
              </w:r>
            </w:hyperlink>
          </w:p>
        </w:tc>
      </w:tr>
      <w:tr w:rsidR="00241D15" w:rsidRPr="00506F2B" w:rsidTr="00865403">
        <w:trPr>
          <w:gridAfter w:val="2"/>
          <w:wAfter w:w="36" w:type="dxa"/>
        </w:trPr>
        <w:tc>
          <w:tcPr>
            <w:tcW w:w="2547" w:type="dxa"/>
            <w:gridSpan w:val="3"/>
          </w:tcPr>
          <w:p w:rsidR="00241D15" w:rsidRPr="00506F2B" w:rsidRDefault="00241D15" w:rsidP="00506F2B">
            <w:pPr>
              <w:jc w:val="both"/>
              <w:rPr>
                <w:b/>
                <w:sz w:val="28"/>
                <w:szCs w:val="28"/>
                <w:lang w:val="uk-UA"/>
              </w:rPr>
            </w:pPr>
            <w:r w:rsidRPr="00506F2B">
              <w:rPr>
                <w:b/>
                <w:sz w:val="28"/>
                <w:szCs w:val="28"/>
                <w:lang w:val="uk-UA"/>
              </w:rPr>
              <w:t>Обсяг дисципліни</w:t>
            </w:r>
          </w:p>
        </w:tc>
        <w:tc>
          <w:tcPr>
            <w:tcW w:w="6798" w:type="dxa"/>
            <w:gridSpan w:val="5"/>
          </w:tcPr>
          <w:p w:rsidR="00241D15" w:rsidRPr="00506F2B" w:rsidRDefault="00241D15" w:rsidP="00506F2B">
            <w:pPr>
              <w:jc w:val="both"/>
              <w:rPr>
                <w:sz w:val="28"/>
                <w:szCs w:val="28"/>
                <w:lang w:val="uk-UA"/>
              </w:rPr>
            </w:pPr>
            <w:r w:rsidRPr="00506F2B">
              <w:rPr>
                <w:sz w:val="28"/>
                <w:szCs w:val="28"/>
                <w:lang w:val="uk-UA"/>
              </w:rPr>
              <w:t>4 кредити ЄКТС, 120 год.</w:t>
            </w:r>
          </w:p>
        </w:tc>
      </w:tr>
      <w:tr w:rsidR="00241D15" w:rsidRPr="00506F2B" w:rsidTr="00865403">
        <w:trPr>
          <w:gridAfter w:val="2"/>
          <w:wAfter w:w="36" w:type="dxa"/>
        </w:trPr>
        <w:tc>
          <w:tcPr>
            <w:tcW w:w="2547" w:type="dxa"/>
            <w:gridSpan w:val="3"/>
          </w:tcPr>
          <w:p w:rsidR="00241D15" w:rsidRPr="00506F2B" w:rsidRDefault="00241D15" w:rsidP="00506F2B">
            <w:pPr>
              <w:jc w:val="both"/>
              <w:rPr>
                <w:sz w:val="28"/>
                <w:szCs w:val="28"/>
                <w:lang w:val="uk-UA"/>
              </w:rPr>
            </w:pPr>
            <w:r w:rsidRPr="00506F2B">
              <w:rPr>
                <w:b/>
                <w:sz w:val="28"/>
                <w:szCs w:val="28"/>
                <w:lang w:val="uk-UA"/>
              </w:rPr>
              <w:t xml:space="preserve">Мова викладання </w:t>
            </w:r>
          </w:p>
        </w:tc>
        <w:tc>
          <w:tcPr>
            <w:tcW w:w="6798" w:type="dxa"/>
            <w:gridSpan w:val="5"/>
          </w:tcPr>
          <w:p w:rsidR="00241D15" w:rsidRPr="00506F2B" w:rsidRDefault="00241D15" w:rsidP="00506F2B">
            <w:pPr>
              <w:jc w:val="both"/>
              <w:rPr>
                <w:sz w:val="28"/>
                <w:szCs w:val="28"/>
                <w:lang w:val="uk-UA"/>
              </w:rPr>
            </w:pPr>
            <w:r w:rsidRPr="00506F2B">
              <w:rPr>
                <w:sz w:val="28"/>
                <w:szCs w:val="28"/>
                <w:lang w:val="uk-UA"/>
              </w:rPr>
              <w:t>українська</w:t>
            </w:r>
          </w:p>
        </w:tc>
      </w:tr>
      <w:tr w:rsidR="00241D15" w:rsidRPr="00506F2B" w:rsidTr="00865403">
        <w:trPr>
          <w:gridAfter w:val="2"/>
          <w:wAfter w:w="36" w:type="dxa"/>
        </w:trPr>
        <w:tc>
          <w:tcPr>
            <w:tcW w:w="2547" w:type="dxa"/>
            <w:gridSpan w:val="3"/>
          </w:tcPr>
          <w:p w:rsidR="00241D15" w:rsidRPr="00506F2B" w:rsidRDefault="00241D15" w:rsidP="00506F2B">
            <w:pPr>
              <w:autoSpaceDE w:val="0"/>
              <w:autoSpaceDN w:val="0"/>
              <w:adjustRightInd w:val="0"/>
              <w:rPr>
                <w:b/>
                <w:bCs/>
                <w:sz w:val="28"/>
                <w:szCs w:val="28"/>
                <w:lang w:val="uk-UA"/>
              </w:rPr>
            </w:pPr>
            <w:r w:rsidRPr="00506F2B">
              <w:rPr>
                <w:b/>
                <w:bCs/>
                <w:sz w:val="28"/>
                <w:szCs w:val="28"/>
                <w:lang w:val="uk-UA"/>
              </w:rPr>
              <w:t>Методи навчання</w:t>
            </w:r>
          </w:p>
        </w:tc>
        <w:tc>
          <w:tcPr>
            <w:tcW w:w="6798" w:type="dxa"/>
            <w:gridSpan w:val="5"/>
          </w:tcPr>
          <w:p w:rsidR="00241D15" w:rsidRPr="00506F2B" w:rsidRDefault="00241D15" w:rsidP="00AA2615">
            <w:pPr>
              <w:pStyle w:val="Default"/>
              <w:rPr>
                <w:sz w:val="28"/>
                <w:szCs w:val="28"/>
              </w:rPr>
            </w:pPr>
            <w:r w:rsidRPr="00506F2B">
              <w:rPr>
                <w:sz w:val="28"/>
                <w:szCs w:val="28"/>
              </w:rPr>
              <w:t>Лекційні-інтерактивні заняття, семінари-дискусії, індивідуальні консультації, розбір конкретних ситуацій (кейс-метод), мозкові атаки.</w:t>
            </w:r>
          </w:p>
        </w:tc>
      </w:tr>
      <w:tr w:rsidR="00241D15" w:rsidRPr="00506F2B" w:rsidTr="00865403">
        <w:trPr>
          <w:gridAfter w:val="2"/>
          <w:wAfter w:w="36" w:type="dxa"/>
        </w:trPr>
        <w:tc>
          <w:tcPr>
            <w:tcW w:w="2547" w:type="dxa"/>
            <w:gridSpan w:val="3"/>
          </w:tcPr>
          <w:p w:rsidR="00241D15" w:rsidRPr="00506F2B" w:rsidRDefault="00241D15" w:rsidP="00506F2B">
            <w:pPr>
              <w:jc w:val="both"/>
              <w:rPr>
                <w:b/>
                <w:sz w:val="28"/>
                <w:szCs w:val="28"/>
                <w:lang w:val="uk-UA"/>
              </w:rPr>
            </w:pPr>
            <w:r w:rsidRPr="00506F2B">
              <w:rPr>
                <w:b/>
                <w:sz w:val="28"/>
                <w:szCs w:val="28"/>
                <w:lang w:val="uk-UA"/>
              </w:rPr>
              <w:t>Консультації</w:t>
            </w:r>
          </w:p>
        </w:tc>
        <w:tc>
          <w:tcPr>
            <w:tcW w:w="6798" w:type="dxa"/>
            <w:gridSpan w:val="5"/>
          </w:tcPr>
          <w:p w:rsidR="00241D15" w:rsidRPr="00506F2B" w:rsidRDefault="00241D15" w:rsidP="00AA2615">
            <w:pPr>
              <w:autoSpaceDE w:val="0"/>
              <w:autoSpaceDN w:val="0"/>
              <w:adjustRightInd w:val="0"/>
              <w:jc w:val="both"/>
              <w:rPr>
                <w:sz w:val="28"/>
                <w:szCs w:val="28"/>
                <w:lang w:val="uk-UA"/>
              </w:rPr>
            </w:pPr>
            <w:r w:rsidRPr="00506F2B">
              <w:rPr>
                <w:sz w:val="28"/>
                <w:szCs w:val="28"/>
                <w:lang w:val="uk-UA"/>
              </w:rPr>
              <w:t>Консультації проводяться відповідно до графіку індивідуальних занять зі студентами, розміщеному на інформаційному стенді. Очні консультації можливі також в день проведення лекцій, семінарських, практичних занять. Відпрацювання проводяться кожного четверга.</w:t>
            </w:r>
          </w:p>
        </w:tc>
      </w:tr>
      <w:tr w:rsidR="00241D15" w:rsidRPr="00506F2B" w:rsidTr="00865403">
        <w:trPr>
          <w:gridAfter w:val="2"/>
          <w:wAfter w:w="36" w:type="dxa"/>
        </w:trPr>
        <w:tc>
          <w:tcPr>
            <w:tcW w:w="9345" w:type="dxa"/>
            <w:gridSpan w:val="8"/>
          </w:tcPr>
          <w:p w:rsidR="00241D15" w:rsidRPr="00506F2B" w:rsidRDefault="00241D15" w:rsidP="00506F2B">
            <w:pPr>
              <w:jc w:val="center"/>
              <w:rPr>
                <w:sz w:val="28"/>
                <w:szCs w:val="28"/>
                <w:lang w:val="uk-UA"/>
              </w:rPr>
            </w:pPr>
            <w:r w:rsidRPr="00506F2B">
              <w:rPr>
                <w:b/>
                <w:sz w:val="28"/>
                <w:szCs w:val="28"/>
                <w:lang w:val="uk-UA"/>
              </w:rPr>
              <w:t>2. Анотація до навчальної дисципліни</w:t>
            </w:r>
          </w:p>
        </w:tc>
      </w:tr>
      <w:tr w:rsidR="00241D15" w:rsidRPr="00506F2B" w:rsidTr="00865403">
        <w:trPr>
          <w:gridAfter w:val="2"/>
          <w:wAfter w:w="36" w:type="dxa"/>
        </w:trPr>
        <w:tc>
          <w:tcPr>
            <w:tcW w:w="9345" w:type="dxa"/>
            <w:gridSpan w:val="8"/>
          </w:tcPr>
          <w:p w:rsidR="00241D15" w:rsidRPr="00506F2B" w:rsidRDefault="00241D15" w:rsidP="00506F2B">
            <w:pPr>
              <w:jc w:val="both"/>
              <w:rPr>
                <w:sz w:val="28"/>
                <w:szCs w:val="28"/>
                <w:lang w:val="uk-UA"/>
              </w:rPr>
            </w:pPr>
            <w:r w:rsidRPr="00506F2B">
              <w:rPr>
                <w:sz w:val="28"/>
                <w:szCs w:val="28"/>
                <w:lang w:val="uk-UA"/>
              </w:rPr>
              <w:t xml:space="preserve">Програма навчальної дисципліни складається з таких </w:t>
            </w:r>
            <w:r w:rsidRPr="00506F2B">
              <w:rPr>
                <w:sz w:val="28"/>
                <w:szCs w:val="28"/>
                <w:u w:val="single"/>
                <w:lang w:val="uk-UA"/>
              </w:rPr>
              <w:t>змістових модулів</w:t>
            </w:r>
            <w:r w:rsidRPr="00506F2B">
              <w:rPr>
                <w:sz w:val="28"/>
                <w:szCs w:val="28"/>
                <w:lang w:val="uk-UA"/>
              </w:rPr>
              <w:t>:</w:t>
            </w:r>
          </w:p>
          <w:p w:rsidR="00241D15" w:rsidRPr="00506F2B" w:rsidRDefault="00241D15" w:rsidP="00506F2B">
            <w:pPr>
              <w:keepNext/>
              <w:jc w:val="both"/>
              <w:rPr>
                <w:sz w:val="28"/>
                <w:szCs w:val="28"/>
                <w:lang w:val="uk-UA"/>
              </w:rPr>
            </w:pPr>
            <w:r w:rsidRPr="00506F2B">
              <w:rPr>
                <w:sz w:val="28"/>
                <w:szCs w:val="28"/>
                <w:lang w:val="uk-UA"/>
              </w:rPr>
              <w:t>1. Загальні положення цивільного процесуального права як складова порівняльного законодавства. Джерела цивільного процесуального права. Загальні принципи цивільного процесу. Юрисдикція та підсудність цивільних справ. Суб’єкти цивільно-процесуальних правовідносин. Процес доказування та докази у цивільному процесі. Процесуальні строки. Судові витрати. Заходи процесуального примусу. Види провадження у цивільних справах.</w:t>
            </w:r>
          </w:p>
          <w:p w:rsidR="00241D15" w:rsidRPr="00506F2B" w:rsidRDefault="00241D15" w:rsidP="00506F2B">
            <w:pPr>
              <w:jc w:val="both"/>
              <w:rPr>
                <w:sz w:val="28"/>
                <w:szCs w:val="28"/>
                <w:lang w:val="uk-UA"/>
              </w:rPr>
            </w:pPr>
            <w:r w:rsidRPr="00506F2B">
              <w:rPr>
                <w:sz w:val="28"/>
                <w:szCs w:val="28"/>
                <w:lang w:val="uk-UA"/>
              </w:rPr>
              <w:t>2. Процедури розгляду цивільних справ. Судові рішення: зміст та види. Процедури перегляду судових рішень.</w:t>
            </w:r>
          </w:p>
          <w:p w:rsidR="00241D15" w:rsidRPr="00506F2B" w:rsidRDefault="00241D15" w:rsidP="00506F2B">
            <w:pPr>
              <w:autoSpaceDE w:val="0"/>
              <w:autoSpaceDN w:val="0"/>
              <w:adjustRightInd w:val="0"/>
              <w:jc w:val="both"/>
              <w:rPr>
                <w:sz w:val="28"/>
                <w:szCs w:val="28"/>
                <w:lang w:val="uk-UA"/>
              </w:rPr>
            </w:pPr>
          </w:p>
          <w:p w:rsidR="00241D15" w:rsidRPr="00506F2B" w:rsidRDefault="00241D15" w:rsidP="00506F2B">
            <w:pPr>
              <w:autoSpaceDE w:val="0"/>
              <w:autoSpaceDN w:val="0"/>
              <w:adjustRightInd w:val="0"/>
              <w:jc w:val="both"/>
              <w:rPr>
                <w:sz w:val="28"/>
                <w:szCs w:val="28"/>
                <w:lang w:val="uk-UA"/>
              </w:rPr>
            </w:pPr>
            <w:r w:rsidRPr="00506F2B">
              <w:rPr>
                <w:sz w:val="28"/>
                <w:szCs w:val="28"/>
                <w:lang w:val="uk-UA"/>
              </w:rPr>
              <w:t xml:space="preserve">Навчальний курс «Порівняльний цивільний процес» слід розуміти як складову загального порівняльного правознавства, завданням якого є виявлення закономірностей правового регулювання здійснення цивільного судочинства у зарубіжних країнах. Курс порівняльного цивільного процесу охоплює інформацію про всі основні інститути цивільного судочинства: юрисдикція, підсудність, особи, докази, розгляд та вирішення справи, </w:t>
            </w:r>
            <w:r w:rsidRPr="00506F2B">
              <w:rPr>
                <w:sz w:val="28"/>
                <w:szCs w:val="28"/>
                <w:lang w:val="uk-UA"/>
              </w:rPr>
              <w:lastRenderedPageBreak/>
              <w:t>перегляди, виконання тощо, ознайомлення з якими дає можливість студентам поглибити свої знання правових явищ в різних державах, отримати точні відомості про якісні моменти зарубіжного права та їх використання у вітчизняній юридичній практиці, виявити джерела правових явищ в зарубіжних системах права і виявлення тенденцій їх розвитку, орієнтуватися в розробці способів гармонізації та зближення правових систем, аналізувати окремі процесуальні інститути зарубіжного права, що дозволяє адаптувати отримані результати у національних умовах.</w:t>
            </w:r>
          </w:p>
          <w:p w:rsidR="00241D15" w:rsidRPr="00506F2B" w:rsidRDefault="00241D15" w:rsidP="00506F2B">
            <w:pPr>
              <w:keepNext/>
              <w:jc w:val="both"/>
              <w:rPr>
                <w:sz w:val="28"/>
                <w:szCs w:val="28"/>
                <w:lang w:val="uk-UA"/>
              </w:rPr>
            </w:pPr>
            <w:r w:rsidRPr="00506F2B">
              <w:rPr>
                <w:sz w:val="28"/>
                <w:szCs w:val="28"/>
                <w:lang w:val="uk-UA"/>
              </w:rPr>
              <w:t xml:space="preserve">Навчальний курс «Порівняльний цивільний процес» є складовою загального порівняльного правознавства. </w:t>
            </w:r>
          </w:p>
          <w:p w:rsidR="00241D15" w:rsidRPr="00506F2B" w:rsidRDefault="00241D15" w:rsidP="00506F2B">
            <w:pPr>
              <w:keepNext/>
              <w:jc w:val="both"/>
              <w:rPr>
                <w:sz w:val="28"/>
                <w:szCs w:val="28"/>
                <w:lang w:val="uk-UA"/>
              </w:rPr>
            </w:pPr>
            <w:r w:rsidRPr="00506F2B">
              <w:rPr>
                <w:sz w:val="28"/>
                <w:szCs w:val="28"/>
                <w:lang w:val="uk-UA"/>
              </w:rPr>
              <w:t>Перевага юридичної освіти з порівняльним компонентом:</w:t>
            </w:r>
          </w:p>
          <w:p w:rsidR="00241D15" w:rsidRPr="00506F2B" w:rsidRDefault="00241D15" w:rsidP="00506F2B">
            <w:pPr>
              <w:pStyle w:val="ListParagraph"/>
              <w:keepNext/>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506F2B">
              <w:rPr>
                <w:rFonts w:ascii="Times New Roman" w:hAnsi="Times New Roman"/>
                <w:sz w:val="28"/>
                <w:szCs w:val="28"/>
              </w:rPr>
              <w:t>робить підготовку майбутнього спеціаліста більш фундаментальною, не тільки прикладною;</w:t>
            </w:r>
          </w:p>
          <w:p w:rsidR="00241D15" w:rsidRPr="00506F2B" w:rsidRDefault="00241D15" w:rsidP="00506F2B">
            <w:pPr>
              <w:pStyle w:val="ListParagraph"/>
              <w:keepNext/>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506F2B">
              <w:rPr>
                <w:rFonts w:ascii="Times New Roman" w:hAnsi="Times New Roman"/>
                <w:sz w:val="28"/>
                <w:szCs w:val="28"/>
              </w:rPr>
              <w:t>формує гнучкість правового мислення, усвідомлення того, що проблема може бути вирішена по-різному в іншому правовому полі;</w:t>
            </w:r>
          </w:p>
          <w:p w:rsidR="00241D15" w:rsidRPr="00506F2B" w:rsidRDefault="00241D15" w:rsidP="00506F2B">
            <w:pPr>
              <w:pStyle w:val="ListParagraph"/>
              <w:keepNext/>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506F2B">
              <w:rPr>
                <w:rFonts w:ascii="Times New Roman" w:hAnsi="Times New Roman"/>
                <w:sz w:val="28"/>
                <w:szCs w:val="28"/>
              </w:rPr>
              <w:t xml:space="preserve">розширюється </w:t>
            </w:r>
            <w:r w:rsidR="00AA2615" w:rsidRPr="00506F2B">
              <w:rPr>
                <w:rFonts w:ascii="Times New Roman" w:hAnsi="Times New Roman"/>
                <w:sz w:val="28"/>
                <w:szCs w:val="28"/>
              </w:rPr>
              <w:t>кругозір</w:t>
            </w:r>
            <w:r w:rsidRPr="00506F2B">
              <w:rPr>
                <w:rFonts w:ascii="Times New Roman" w:hAnsi="Times New Roman"/>
                <w:sz w:val="28"/>
                <w:szCs w:val="28"/>
              </w:rPr>
              <w:t>, збагачуються юридичні знання;</w:t>
            </w:r>
          </w:p>
          <w:p w:rsidR="00241D15" w:rsidRPr="00506F2B" w:rsidRDefault="00241D15" w:rsidP="00506F2B">
            <w:pPr>
              <w:pStyle w:val="ListParagraph"/>
              <w:keepNext/>
              <w:widowControl w:val="0"/>
              <w:numPr>
                <w:ilvl w:val="0"/>
                <w:numId w:val="8"/>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506F2B">
              <w:rPr>
                <w:rFonts w:ascii="Times New Roman" w:hAnsi="Times New Roman"/>
                <w:sz w:val="28"/>
                <w:szCs w:val="28"/>
              </w:rPr>
              <w:t xml:space="preserve">забезпечує підготовку спеціалістів для сучасної транснаціональної юридичної практики. </w:t>
            </w:r>
          </w:p>
        </w:tc>
      </w:tr>
      <w:tr w:rsidR="00241D15" w:rsidRPr="00506F2B" w:rsidTr="00865403">
        <w:trPr>
          <w:gridAfter w:val="2"/>
          <w:wAfter w:w="36" w:type="dxa"/>
        </w:trPr>
        <w:tc>
          <w:tcPr>
            <w:tcW w:w="9345" w:type="dxa"/>
            <w:gridSpan w:val="8"/>
          </w:tcPr>
          <w:p w:rsidR="00241D15" w:rsidRPr="00506F2B" w:rsidRDefault="00241D15" w:rsidP="00506F2B">
            <w:pPr>
              <w:jc w:val="center"/>
              <w:rPr>
                <w:b/>
                <w:sz w:val="28"/>
                <w:szCs w:val="28"/>
                <w:lang w:val="uk-UA"/>
              </w:rPr>
            </w:pPr>
            <w:r w:rsidRPr="00506F2B">
              <w:rPr>
                <w:b/>
                <w:sz w:val="28"/>
                <w:szCs w:val="28"/>
                <w:lang w:val="uk-UA"/>
              </w:rPr>
              <w:lastRenderedPageBreak/>
              <w:t>3. Результати навчання (компетентності)</w:t>
            </w:r>
          </w:p>
        </w:tc>
      </w:tr>
      <w:tr w:rsidR="00241D15" w:rsidRPr="00506F2B" w:rsidTr="00865403">
        <w:trPr>
          <w:gridAfter w:val="2"/>
          <w:wAfter w:w="36" w:type="dxa"/>
        </w:trPr>
        <w:tc>
          <w:tcPr>
            <w:tcW w:w="9345" w:type="dxa"/>
            <w:gridSpan w:val="8"/>
          </w:tcPr>
          <w:p w:rsidR="00241D15" w:rsidRPr="00506F2B" w:rsidRDefault="00241D15" w:rsidP="00506F2B">
            <w:pPr>
              <w:pStyle w:val="ListParagraph"/>
              <w:numPr>
                <w:ilvl w:val="0"/>
                <w:numId w:val="7"/>
              </w:numPr>
              <w:tabs>
                <w:tab w:val="left" w:pos="300"/>
              </w:tabs>
              <w:spacing w:after="0" w:line="240" w:lineRule="auto"/>
              <w:ind w:left="142" w:firstLine="0"/>
              <w:jc w:val="both"/>
              <w:rPr>
                <w:rFonts w:ascii="Times New Roman" w:hAnsi="Times New Roman"/>
                <w:sz w:val="28"/>
                <w:szCs w:val="28"/>
              </w:rPr>
            </w:pPr>
            <w:r w:rsidRPr="00506F2B">
              <w:rPr>
                <w:rFonts w:ascii="Times New Roman" w:hAnsi="Times New Roman"/>
                <w:sz w:val="28"/>
                <w:szCs w:val="28"/>
              </w:rPr>
              <w:t>Демонструвати знання і навички з аналізу правових конструкцій цивільного процесу з точки зору їх змісту та практичності;</w:t>
            </w:r>
          </w:p>
          <w:p w:rsidR="00241D15" w:rsidRPr="00506F2B" w:rsidRDefault="00241D15" w:rsidP="00506F2B">
            <w:pPr>
              <w:pStyle w:val="ListParagraph"/>
              <w:numPr>
                <w:ilvl w:val="0"/>
                <w:numId w:val="7"/>
              </w:numPr>
              <w:tabs>
                <w:tab w:val="left" w:pos="300"/>
              </w:tabs>
              <w:spacing w:after="0" w:line="240" w:lineRule="auto"/>
              <w:ind w:left="142" w:firstLine="0"/>
              <w:jc w:val="both"/>
              <w:rPr>
                <w:rFonts w:ascii="Times New Roman" w:hAnsi="Times New Roman"/>
                <w:sz w:val="28"/>
                <w:szCs w:val="28"/>
              </w:rPr>
            </w:pPr>
            <w:r w:rsidRPr="00506F2B">
              <w:rPr>
                <w:rFonts w:ascii="Times New Roman" w:hAnsi="Times New Roman"/>
                <w:sz w:val="28"/>
                <w:szCs w:val="28"/>
              </w:rPr>
              <w:t>Визначати процесуальний статус кола суб’єктів у цивільному провадженні;</w:t>
            </w:r>
          </w:p>
          <w:p w:rsidR="00241D15" w:rsidRPr="00506F2B" w:rsidRDefault="00241D15" w:rsidP="00506F2B">
            <w:pPr>
              <w:pStyle w:val="ListParagraph"/>
              <w:numPr>
                <w:ilvl w:val="0"/>
                <w:numId w:val="7"/>
              </w:numPr>
              <w:tabs>
                <w:tab w:val="left" w:pos="300"/>
              </w:tabs>
              <w:spacing w:after="0" w:line="240" w:lineRule="auto"/>
              <w:ind w:left="142" w:firstLine="0"/>
              <w:jc w:val="both"/>
              <w:rPr>
                <w:rFonts w:ascii="Times New Roman" w:hAnsi="Times New Roman"/>
                <w:sz w:val="28"/>
                <w:szCs w:val="28"/>
              </w:rPr>
            </w:pPr>
            <w:r w:rsidRPr="00506F2B">
              <w:rPr>
                <w:rFonts w:ascii="Times New Roman" w:hAnsi="Times New Roman"/>
                <w:sz w:val="28"/>
                <w:szCs w:val="28"/>
              </w:rPr>
              <w:t>Надавати правову оцінку юридичним конструкціям та правильно користуватись правовою термінологією;</w:t>
            </w:r>
          </w:p>
          <w:p w:rsidR="00241D15" w:rsidRPr="00506F2B" w:rsidRDefault="00241D15" w:rsidP="00506F2B">
            <w:pPr>
              <w:pStyle w:val="ListParagraph"/>
              <w:numPr>
                <w:ilvl w:val="0"/>
                <w:numId w:val="7"/>
              </w:numPr>
              <w:tabs>
                <w:tab w:val="left" w:pos="300"/>
              </w:tabs>
              <w:spacing w:after="0" w:line="240" w:lineRule="auto"/>
              <w:ind w:left="142" w:firstLine="0"/>
              <w:jc w:val="both"/>
              <w:rPr>
                <w:rFonts w:ascii="Times New Roman" w:hAnsi="Times New Roman"/>
                <w:sz w:val="28"/>
                <w:szCs w:val="28"/>
              </w:rPr>
            </w:pPr>
            <w:r w:rsidRPr="00506F2B">
              <w:rPr>
                <w:rFonts w:ascii="Times New Roman" w:hAnsi="Times New Roman"/>
                <w:sz w:val="28"/>
                <w:szCs w:val="28"/>
              </w:rPr>
              <w:t xml:space="preserve">Вміти здійснити комплекс заходів щодо захисту прав людини у цивільному провадженні; </w:t>
            </w:r>
          </w:p>
          <w:p w:rsidR="00241D15" w:rsidRPr="00506F2B" w:rsidRDefault="00241D15" w:rsidP="00506F2B">
            <w:pPr>
              <w:pStyle w:val="ListParagraph"/>
              <w:numPr>
                <w:ilvl w:val="0"/>
                <w:numId w:val="6"/>
              </w:numPr>
              <w:tabs>
                <w:tab w:val="left" w:pos="300"/>
              </w:tabs>
              <w:spacing w:after="0" w:line="240" w:lineRule="auto"/>
              <w:ind w:left="142" w:firstLine="0"/>
              <w:jc w:val="both"/>
              <w:rPr>
                <w:rFonts w:ascii="Times New Roman" w:hAnsi="Times New Roman"/>
                <w:sz w:val="28"/>
                <w:szCs w:val="28"/>
              </w:rPr>
            </w:pPr>
            <w:r w:rsidRPr="00506F2B">
              <w:rPr>
                <w:rFonts w:ascii="Times New Roman" w:hAnsi="Times New Roman"/>
                <w:sz w:val="28"/>
                <w:szCs w:val="28"/>
              </w:rPr>
              <w:t xml:space="preserve">Мати навички щодо застосування цивільно-процесуального законодавства; </w:t>
            </w:r>
          </w:p>
          <w:p w:rsidR="00241D15" w:rsidRPr="00506F2B" w:rsidRDefault="00241D15" w:rsidP="00506F2B">
            <w:pPr>
              <w:pStyle w:val="ListParagraph"/>
              <w:numPr>
                <w:ilvl w:val="0"/>
                <w:numId w:val="6"/>
              </w:numPr>
              <w:tabs>
                <w:tab w:val="left" w:pos="300"/>
              </w:tabs>
              <w:autoSpaceDE w:val="0"/>
              <w:autoSpaceDN w:val="0"/>
              <w:adjustRightInd w:val="0"/>
              <w:spacing w:after="0" w:line="240" w:lineRule="auto"/>
              <w:ind w:left="142" w:firstLine="0"/>
              <w:jc w:val="both"/>
              <w:rPr>
                <w:rFonts w:ascii="Times New Roman" w:hAnsi="Times New Roman"/>
                <w:sz w:val="28"/>
                <w:szCs w:val="28"/>
              </w:rPr>
            </w:pPr>
            <w:r w:rsidRPr="00506F2B">
              <w:rPr>
                <w:rFonts w:ascii="Times New Roman" w:hAnsi="Times New Roman"/>
                <w:sz w:val="28"/>
                <w:szCs w:val="28"/>
              </w:rPr>
              <w:t>Вміти формулювати та визначати правову позицію щодо використання певних процедурних способів та механізмів для захисту особи при здійсненні представництва у суді.</w:t>
            </w:r>
          </w:p>
          <w:p w:rsidR="00241D15" w:rsidRPr="00506F2B" w:rsidRDefault="00241D15" w:rsidP="00506F2B">
            <w:pPr>
              <w:ind w:left="360"/>
              <w:rPr>
                <w:b/>
                <w:sz w:val="28"/>
                <w:szCs w:val="28"/>
                <w:lang w:val="uk-UA"/>
              </w:rPr>
            </w:pPr>
            <w:r w:rsidRPr="00506F2B">
              <w:rPr>
                <w:b/>
                <w:sz w:val="28"/>
                <w:szCs w:val="28"/>
                <w:lang w:val="uk-UA"/>
              </w:rPr>
              <w:t>Програмні результати навчання:</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sz w:val="28"/>
                <w:szCs w:val="28"/>
                <w:lang w:eastAsia="ar-SA"/>
              </w:rPr>
            </w:pPr>
            <w:r w:rsidRPr="00506F2B">
              <w:rPr>
                <w:rFonts w:ascii="Times New Roman" w:hAnsi="Times New Roman"/>
                <w:sz w:val="28"/>
                <w:szCs w:val="28"/>
              </w:rPr>
              <w:t xml:space="preserve">ПРН-1: </w:t>
            </w:r>
            <w:r w:rsidRPr="00506F2B">
              <w:rPr>
                <w:rFonts w:ascii="Times New Roman" w:hAnsi="Times New Roman"/>
                <w:sz w:val="28"/>
                <w:szCs w:val="28"/>
                <w:lang w:eastAsia="ar-SA"/>
              </w:rPr>
              <w:t xml:space="preserve">Мислити </w:t>
            </w:r>
            <w:proofErr w:type="spellStart"/>
            <w:r w:rsidRPr="00506F2B">
              <w:rPr>
                <w:rFonts w:ascii="Times New Roman" w:hAnsi="Times New Roman"/>
                <w:sz w:val="28"/>
                <w:szCs w:val="28"/>
                <w:lang w:eastAsia="ar-SA"/>
              </w:rPr>
              <w:t>абстрактно</w:t>
            </w:r>
            <w:proofErr w:type="spellEnd"/>
            <w:r w:rsidRPr="00506F2B">
              <w:rPr>
                <w:rFonts w:ascii="Times New Roman" w:hAnsi="Times New Roman"/>
                <w:sz w:val="28"/>
                <w:szCs w:val="28"/>
                <w:lang w:eastAsia="ar-SA"/>
              </w:rPr>
              <w:t xml:space="preserve"> й аналітично, синтезувати загальні знання порівняльного кримінального процесу для досягнення цілей професійної діяльності.</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kern w:val="1"/>
                <w:sz w:val="28"/>
                <w:szCs w:val="28"/>
                <w:lang w:eastAsia="ar-SA"/>
              </w:rPr>
            </w:pPr>
            <w:r w:rsidRPr="00506F2B">
              <w:rPr>
                <w:rFonts w:ascii="Times New Roman" w:hAnsi="Times New Roman"/>
                <w:sz w:val="28"/>
                <w:szCs w:val="28"/>
              </w:rPr>
              <w:t xml:space="preserve">ПРН-2: </w:t>
            </w:r>
            <w:r w:rsidRPr="00506F2B">
              <w:rPr>
                <w:rFonts w:ascii="Times New Roman" w:hAnsi="Times New Roman"/>
                <w:kern w:val="1"/>
                <w:sz w:val="28"/>
                <w:szCs w:val="28"/>
                <w:lang w:eastAsia="ar-SA"/>
              </w:rPr>
              <w:t>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sz w:val="28"/>
                <w:szCs w:val="28"/>
                <w:lang w:eastAsia="ar-SA"/>
              </w:rPr>
            </w:pPr>
            <w:r w:rsidRPr="00506F2B">
              <w:rPr>
                <w:rFonts w:ascii="Times New Roman" w:hAnsi="Times New Roman"/>
                <w:sz w:val="28"/>
                <w:szCs w:val="28"/>
              </w:rPr>
              <w:t xml:space="preserve">ПРН-3: Проводити збір і інтегрований аналіз матеріалів з різних джерел, </w:t>
            </w:r>
            <w:r w:rsidRPr="00506F2B">
              <w:rPr>
                <w:rFonts w:ascii="Times New Roman" w:hAnsi="Times New Roman"/>
                <w:sz w:val="28"/>
                <w:szCs w:val="28"/>
                <w:lang w:eastAsia="ar-SA"/>
              </w:rPr>
              <w:t>аналізувати їх та узагальнювати у відповідності до наукових критеріїв.</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sz w:val="28"/>
                <w:szCs w:val="28"/>
                <w:lang w:eastAsia="ar-SA"/>
              </w:rPr>
            </w:pPr>
            <w:r w:rsidRPr="00506F2B">
              <w:rPr>
                <w:rFonts w:ascii="Times New Roman" w:hAnsi="Times New Roman"/>
                <w:sz w:val="28"/>
                <w:szCs w:val="28"/>
              </w:rPr>
              <w:t xml:space="preserve">ПРН-5: </w:t>
            </w:r>
            <w:r w:rsidRPr="00506F2B">
              <w:rPr>
                <w:rFonts w:ascii="Times New Roman" w:hAnsi="Times New Roman"/>
                <w:sz w:val="28"/>
                <w:szCs w:val="28"/>
                <w:lang w:eastAsia="ar-SA"/>
              </w:rPr>
              <w:t xml:space="preserve">Швидко знаходити потрібну інформацію, обробляти й аналізувати її, оцінювати за достовірністю та </w:t>
            </w:r>
            <w:proofErr w:type="spellStart"/>
            <w:r w:rsidRPr="00506F2B">
              <w:rPr>
                <w:rFonts w:ascii="Times New Roman" w:hAnsi="Times New Roman"/>
                <w:sz w:val="28"/>
                <w:szCs w:val="28"/>
                <w:lang w:eastAsia="ar-SA"/>
              </w:rPr>
              <w:t>релевантністю</w:t>
            </w:r>
            <w:proofErr w:type="spellEnd"/>
            <w:r w:rsidRPr="00506F2B">
              <w:rPr>
                <w:rFonts w:ascii="Times New Roman" w:hAnsi="Times New Roman"/>
                <w:sz w:val="28"/>
                <w:szCs w:val="28"/>
                <w:lang w:eastAsia="ar-SA"/>
              </w:rPr>
              <w:t>, аналізувати зібрану й оброблену інформацію.</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kern w:val="1"/>
                <w:sz w:val="28"/>
                <w:szCs w:val="28"/>
                <w:lang w:eastAsia="ar-SA"/>
              </w:rPr>
            </w:pPr>
            <w:r w:rsidRPr="00506F2B">
              <w:rPr>
                <w:rFonts w:ascii="Times New Roman" w:hAnsi="Times New Roman"/>
                <w:sz w:val="28"/>
                <w:szCs w:val="28"/>
              </w:rPr>
              <w:lastRenderedPageBreak/>
              <w:t xml:space="preserve">ПРН-10: </w:t>
            </w:r>
            <w:r w:rsidRPr="00506F2B">
              <w:rPr>
                <w:rFonts w:ascii="Times New Roman" w:hAnsi="Times New Roman"/>
                <w:kern w:val="1"/>
                <w:sz w:val="28"/>
                <w:szCs w:val="28"/>
                <w:lang w:eastAsia="ar-SA"/>
              </w:rPr>
              <w:t>Демонструвати концептуальні знання, набуті у процесі навчання та професійної діяльності, включаючи певні знання сучасних досягнень порівняльного законодавства,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241D15" w:rsidRPr="00506F2B" w:rsidRDefault="00241D15" w:rsidP="00506F2B">
            <w:pPr>
              <w:pStyle w:val="ListParagraph"/>
              <w:widowControl w:val="0"/>
              <w:numPr>
                <w:ilvl w:val="0"/>
                <w:numId w:val="8"/>
              </w:numPr>
              <w:autoSpaceDE w:val="0"/>
              <w:autoSpaceDN w:val="0"/>
              <w:adjustRightInd w:val="0"/>
              <w:spacing w:after="0" w:line="240" w:lineRule="auto"/>
              <w:ind w:left="284" w:firstLine="0"/>
              <w:jc w:val="both"/>
              <w:rPr>
                <w:rFonts w:ascii="Times New Roman" w:hAnsi="Times New Roman"/>
                <w:b/>
                <w:sz w:val="28"/>
                <w:szCs w:val="28"/>
                <w:lang w:eastAsia="ar-SA"/>
              </w:rPr>
            </w:pPr>
            <w:r w:rsidRPr="00506F2B">
              <w:rPr>
                <w:rFonts w:ascii="Times New Roman" w:hAnsi="Times New Roman"/>
                <w:sz w:val="28"/>
                <w:szCs w:val="28"/>
              </w:rPr>
              <w:t xml:space="preserve">ПРН-13: </w:t>
            </w:r>
            <w:r w:rsidRPr="00506F2B">
              <w:rPr>
                <w:rFonts w:ascii="Times New Roman" w:hAnsi="Times New Roman"/>
                <w:sz w:val="28"/>
                <w:szCs w:val="28"/>
                <w:lang w:eastAsia="ar-SA"/>
              </w:rPr>
              <w:t>Передбачати й формулювати юридичні ризики тих або інших дій з урахуванням множинності правових систем і юрисдикцій.</w:t>
            </w:r>
          </w:p>
          <w:p w:rsidR="00241D15" w:rsidRPr="00506F2B" w:rsidRDefault="00241D15" w:rsidP="00506F2B">
            <w:pPr>
              <w:pStyle w:val="ListParagraph"/>
              <w:tabs>
                <w:tab w:val="left" w:pos="300"/>
              </w:tabs>
              <w:autoSpaceDE w:val="0"/>
              <w:autoSpaceDN w:val="0"/>
              <w:adjustRightInd w:val="0"/>
              <w:spacing w:after="0" w:line="240" w:lineRule="auto"/>
              <w:ind w:left="142"/>
              <w:jc w:val="both"/>
              <w:rPr>
                <w:rFonts w:ascii="Times New Roman" w:hAnsi="Times New Roman"/>
                <w:sz w:val="28"/>
                <w:szCs w:val="28"/>
              </w:rPr>
            </w:pPr>
          </w:p>
        </w:tc>
      </w:tr>
      <w:tr w:rsidR="00241D15" w:rsidRPr="00506F2B" w:rsidTr="00865403">
        <w:trPr>
          <w:gridAfter w:val="2"/>
          <w:wAfter w:w="36" w:type="dxa"/>
        </w:trPr>
        <w:tc>
          <w:tcPr>
            <w:tcW w:w="9345" w:type="dxa"/>
            <w:gridSpan w:val="8"/>
          </w:tcPr>
          <w:p w:rsidR="00241D15" w:rsidRPr="00506F2B" w:rsidRDefault="00241D15" w:rsidP="00506F2B">
            <w:pPr>
              <w:jc w:val="center"/>
              <w:rPr>
                <w:sz w:val="28"/>
                <w:szCs w:val="28"/>
                <w:lang w:val="uk-UA"/>
              </w:rPr>
            </w:pPr>
            <w:r w:rsidRPr="00506F2B">
              <w:rPr>
                <w:b/>
                <w:sz w:val="28"/>
                <w:szCs w:val="28"/>
                <w:lang w:val="uk-UA"/>
              </w:rPr>
              <w:lastRenderedPageBreak/>
              <w:t xml:space="preserve">4. Організація навчання </w:t>
            </w:r>
          </w:p>
        </w:tc>
      </w:tr>
      <w:tr w:rsidR="00241D15" w:rsidRPr="00506F2B" w:rsidTr="00865403">
        <w:trPr>
          <w:gridAfter w:val="2"/>
          <w:wAfter w:w="36" w:type="dxa"/>
        </w:trPr>
        <w:tc>
          <w:tcPr>
            <w:tcW w:w="9345" w:type="dxa"/>
            <w:gridSpan w:val="8"/>
          </w:tcPr>
          <w:p w:rsidR="00241D15" w:rsidRPr="00506F2B" w:rsidRDefault="00241D15" w:rsidP="00506F2B">
            <w:pPr>
              <w:jc w:val="center"/>
              <w:rPr>
                <w:sz w:val="28"/>
                <w:szCs w:val="28"/>
                <w:lang w:val="uk-UA"/>
              </w:rPr>
            </w:pPr>
            <w:r w:rsidRPr="00506F2B">
              <w:rPr>
                <w:sz w:val="28"/>
                <w:szCs w:val="28"/>
                <w:lang w:val="uk-UA"/>
              </w:rPr>
              <w:t>Тематика навчальної дисципліни</w:t>
            </w:r>
          </w:p>
        </w:tc>
      </w:tr>
      <w:tr w:rsidR="00241D15" w:rsidRPr="00506F2B" w:rsidTr="00865403">
        <w:trPr>
          <w:gridAfter w:val="1"/>
          <w:wAfter w:w="25" w:type="dxa"/>
          <w:trHeight w:val="294"/>
        </w:trPr>
        <w:tc>
          <w:tcPr>
            <w:tcW w:w="1560" w:type="dxa"/>
            <w:vMerge w:val="restart"/>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p>
        </w:tc>
        <w:tc>
          <w:tcPr>
            <w:tcW w:w="3544" w:type="dxa"/>
            <w:gridSpan w:val="3"/>
            <w:vMerge w:val="restart"/>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Тема</w:t>
            </w:r>
          </w:p>
        </w:tc>
        <w:tc>
          <w:tcPr>
            <w:tcW w:w="992" w:type="dxa"/>
            <w:vMerge w:val="restart"/>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Всього</w:t>
            </w:r>
          </w:p>
        </w:tc>
        <w:tc>
          <w:tcPr>
            <w:tcW w:w="3260" w:type="dxa"/>
            <w:gridSpan w:val="4"/>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Кількість годин</w:t>
            </w:r>
          </w:p>
        </w:tc>
      </w:tr>
      <w:tr w:rsidR="00241D15" w:rsidRPr="00506F2B" w:rsidTr="00865403">
        <w:trPr>
          <w:gridAfter w:val="1"/>
          <w:wAfter w:w="25" w:type="dxa"/>
          <w:trHeight w:val="314"/>
        </w:trPr>
        <w:tc>
          <w:tcPr>
            <w:tcW w:w="1560" w:type="dxa"/>
            <w:vMerge/>
            <w:vAlign w:val="center"/>
          </w:tcPr>
          <w:p w:rsidR="00241D15" w:rsidRPr="00506F2B" w:rsidRDefault="00241D15" w:rsidP="00506F2B">
            <w:pPr>
              <w:rPr>
                <w:sz w:val="28"/>
                <w:szCs w:val="28"/>
                <w:lang w:val="uk-UA" w:eastAsia="uk-UA"/>
              </w:rPr>
            </w:pPr>
          </w:p>
        </w:tc>
        <w:tc>
          <w:tcPr>
            <w:tcW w:w="3544" w:type="dxa"/>
            <w:gridSpan w:val="3"/>
            <w:vMerge/>
            <w:vAlign w:val="center"/>
          </w:tcPr>
          <w:p w:rsidR="00241D15" w:rsidRPr="00506F2B" w:rsidRDefault="00241D15" w:rsidP="00506F2B">
            <w:pPr>
              <w:rPr>
                <w:sz w:val="28"/>
                <w:szCs w:val="28"/>
                <w:lang w:val="uk-UA" w:eastAsia="uk-UA"/>
              </w:rPr>
            </w:pPr>
          </w:p>
        </w:tc>
        <w:tc>
          <w:tcPr>
            <w:tcW w:w="992" w:type="dxa"/>
            <w:vMerge/>
            <w:vAlign w:val="center"/>
          </w:tcPr>
          <w:p w:rsidR="00241D15" w:rsidRPr="00506F2B" w:rsidRDefault="00241D15" w:rsidP="00506F2B">
            <w:pPr>
              <w:rPr>
                <w:sz w:val="28"/>
                <w:szCs w:val="28"/>
                <w:lang w:val="uk-UA" w:eastAsia="uk-UA"/>
              </w:rPr>
            </w:pPr>
          </w:p>
        </w:tc>
        <w:tc>
          <w:tcPr>
            <w:tcW w:w="992"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Лекції</w:t>
            </w:r>
          </w:p>
        </w:tc>
        <w:tc>
          <w:tcPr>
            <w:tcW w:w="1276"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Семінари</w:t>
            </w:r>
          </w:p>
        </w:tc>
        <w:tc>
          <w:tcPr>
            <w:tcW w:w="992" w:type="dxa"/>
            <w:gridSpan w:val="2"/>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Сам. р.</w:t>
            </w:r>
          </w:p>
        </w:tc>
      </w:tr>
      <w:tr w:rsidR="00241D15" w:rsidRPr="00506F2B" w:rsidTr="00865403">
        <w:trPr>
          <w:trHeight w:val="320"/>
        </w:trPr>
        <w:tc>
          <w:tcPr>
            <w:tcW w:w="9381" w:type="dxa"/>
            <w:gridSpan w:val="10"/>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 xml:space="preserve">Модуль І. </w:t>
            </w:r>
          </w:p>
        </w:tc>
      </w:tr>
      <w:tr w:rsidR="00241D15" w:rsidRPr="00506F2B" w:rsidTr="00865403">
        <w:trPr>
          <w:gridAfter w:val="1"/>
          <w:wAfter w:w="25" w:type="dxa"/>
          <w:trHeight w:val="980"/>
        </w:trPr>
        <w:tc>
          <w:tcPr>
            <w:tcW w:w="5104" w:type="dxa"/>
            <w:gridSpan w:val="4"/>
            <w:vMerge w:val="restart"/>
          </w:tcPr>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1 Загальні положення цивільного процесуального права як складова порівняльного законодавства. Джерела цивільного процесуального права. Загальні принципи цивільного процесу.</w:t>
            </w:r>
          </w:p>
          <w:p w:rsidR="00241D15" w:rsidRPr="00506F2B" w:rsidRDefault="00241D15" w:rsidP="00506F2B">
            <w:pPr>
              <w:pStyle w:val="11"/>
              <w:spacing w:line="240" w:lineRule="auto"/>
              <w:ind w:left="164"/>
              <w:rPr>
                <w:rFonts w:ascii="Times New Roman" w:hAnsi="Times New Roman" w:cs="Times New Roman"/>
                <w:sz w:val="28"/>
                <w:szCs w:val="28"/>
              </w:rPr>
            </w:pP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2 Юрисдикція та підсудність цивільних справ</w:t>
            </w:r>
          </w:p>
          <w:p w:rsidR="00241D15" w:rsidRPr="00506F2B" w:rsidRDefault="00241D15" w:rsidP="00506F2B">
            <w:pPr>
              <w:pStyle w:val="11"/>
              <w:spacing w:line="240" w:lineRule="auto"/>
              <w:ind w:left="164"/>
              <w:rPr>
                <w:rFonts w:ascii="Times New Roman" w:hAnsi="Times New Roman" w:cs="Times New Roman"/>
                <w:sz w:val="28"/>
                <w:szCs w:val="28"/>
              </w:rPr>
            </w:pP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 xml:space="preserve">Тема 3 Суб’єкти цивільно-процесуальних правовідносин. </w:t>
            </w: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4 Процес доказування та докази в цивільному процесі.</w:t>
            </w: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5 Процесуальні строки. Судові витрати. Заходи процесуального примусу.</w:t>
            </w:r>
          </w:p>
          <w:p w:rsidR="00241D15" w:rsidRPr="00506F2B" w:rsidRDefault="00241D15" w:rsidP="00506F2B">
            <w:pPr>
              <w:pStyle w:val="11"/>
              <w:spacing w:line="240" w:lineRule="auto"/>
              <w:ind w:left="164"/>
              <w:rPr>
                <w:rFonts w:ascii="Times New Roman" w:hAnsi="Times New Roman" w:cs="Times New Roman"/>
                <w:sz w:val="28"/>
                <w:szCs w:val="28"/>
              </w:rPr>
            </w:pP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 xml:space="preserve">Тема 6 Види провадження у цивільних справах. </w:t>
            </w:r>
          </w:p>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12</w:t>
            </w: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8</w:t>
            </w:r>
          </w:p>
        </w:tc>
      </w:tr>
      <w:tr w:rsidR="00241D15" w:rsidRPr="00506F2B" w:rsidTr="00865403">
        <w:trPr>
          <w:gridAfter w:val="1"/>
          <w:wAfter w:w="25" w:type="dxa"/>
          <w:trHeight w:val="562"/>
        </w:trPr>
        <w:tc>
          <w:tcPr>
            <w:tcW w:w="5104" w:type="dxa"/>
            <w:gridSpan w:val="4"/>
            <w:vMerge/>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restart"/>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24</w:t>
            </w: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restart"/>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16</w:t>
            </w:r>
          </w:p>
        </w:tc>
      </w:tr>
      <w:tr w:rsidR="00241D15" w:rsidRPr="00506F2B" w:rsidTr="00865403">
        <w:trPr>
          <w:gridAfter w:val="1"/>
          <w:wAfter w:w="25" w:type="dxa"/>
          <w:trHeight w:val="471"/>
        </w:trPr>
        <w:tc>
          <w:tcPr>
            <w:tcW w:w="5104" w:type="dxa"/>
            <w:gridSpan w:val="4"/>
            <w:vMerge/>
            <w:vAlign w:val="center"/>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ign w:val="center"/>
          </w:tcPr>
          <w:p w:rsidR="00241D15" w:rsidRPr="00506F2B" w:rsidRDefault="00241D15" w:rsidP="00AA2615">
            <w:pPr>
              <w:jc w:val="center"/>
              <w:rPr>
                <w:sz w:val="28"/>
                <w:szCs w:val="28"/>
                <w:lang w:val="uk-UA" w:eastAsia="uk-UA"/>
              </w:rPr>
            </w:pP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ign w:val="center"/>
          </w:tcPr>
          <w:p w:rsidR="00241D15" w:rsidRPr="00506F2B" w:rsidRDefault="00241D15" w:rsidP="00AA2615">
            <w:pPr>
              <w:jc w:val="center"/>
              <w:rPr>
                <w:sz w:val="28"/>
                <w:szCs w:val="28"/>
                <w:lang w:val="uk-UA" w:eastAsia="uk-UA"/>
              </w:rPr>
            </w:pPr>
          </w:p>
        </w:tc>
      </w:tr>
      <w:tr w:rsidR="00241D15" w:rsidRPr="00506F2B" w:rsidTr="00865403">
        <w:trPr>
          <w:gridAfter w:val="1"/>
          <w:wAfter w:w="25" w:type="dxa"/>
          <w:trHeight w:val="562"/>
        </w:trPr>
        <w:tc>
          <w:tcPr>
            <w:tcW w:w="5104" w:type="dxa"/>
            <w:gridSpan w:val="4"/>
            <w:vMerge/>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restart"/>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24</w:t>
            </w: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12</w:t>
            </w: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restart"/>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16</w:t>
            </w: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8</w:t>
            </w:r>
          </w:p>
        </w:tc>
      </w:tr>
      <w:tr w:rsidR="00241D15" w:rsidRPr="00506F2B" w:rsidTr="00865403">
        <w:trPr>
          <w:gridAfter w:val="1"/>
          <w:wAfter w:w="25" w:type="dxa"/>
          <w:trHeight w:val="276"/>
        </w:trPr>
        <w:tc>
          <w:tcPr>
            <w:tcW w:w="5104" w:type="dxa"/>
            <w:gridSpan w:val="4"/>
            <w:vMerge/>
            <w:vAlign w:val="center"/>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ign w:val="center"/>
          </w:tcPr>
          <w:p w:rsidR="00241D15" w:rsidRPr="00506F2B" w:rsidRDefault="00241D15" w:rsidP="00AA2615">
            <w:pPr>
              <w:jc w:val="center"/>
              <w:rPr>
                <w:sz w:val="28"/>
                <w:szCs w:val="28"/>
                <w:lang w:val="uk-UA" w:eastAsia="uk-UA"/>
              </w:rPr>
            </w:pPr>
          </w:p>
        </w:tc>
        <w:tc>
          <w:tcPr>
            <w:tcW w:w="992"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p>
          <w:p w:rsidR="00241D15" w:rsidRPr="00506F2B" w:rsidRDefault="00241D15" w:rsidP="00AA2615">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ign w:val="center"/>
          </w:tcPr>
          <w:p w:rsidR="00241D15" w:rsidRPr="00506F2B" w:rsidRDefault="00241D15" w:rsidP="00506F2B">
            <w:pPr>
              <w:rPr>
                <w:sz w:val="28"/>
                <w:szCs w:val="28"/>
                <w:lang w:val="uk-UA" w:eastAsia="uk-UA"/>
              </w:rPr>
            </w:pPr>
          </w:p>
        </w:tc>
      </w:tr>
      <w:tr w:rsidR="00241D15" w:rsidRPr="00506F2B" w:rsidTr="00865403">
        <w:trPr>
          <w:trHeight w:val="460"/>
        </w:trPr>
        <w:tc>
          <w:tcPr>
            <w:tcW w:w="9381" w:type="dxa"/>
            <w:gridSpan w:val="10"/>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 xml:space="preserve">Модуль ІІ. </w:t>
            </w:r>
          </w:p>
        </w:tc>
      </w:tr>
      <w:tr w:rsidR="00241D15" w:rsidRPr="00506F2B" w:rsidTr="00865403">
        <w:trPr>
          <w:gridAfter w:val="1"/>
          <w:wAfter w:w="25" w:type="dxa"/>
          <w:trHeight w:val="460"/>
        </w:trPr>
        <w:tc>
          <w:tcPr>
            <w:tcW w:w="5104" w:type="dxa"/>
            <w:gridSpan w:val="4"/>
            <w:vMerge w:val="restart"/>
          </w:tcPr>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 xml:space="preserve">Тема 7-8 Процедури розгляду цивільних справ. </w:t>
            </w:r>
          </w:p>
          <w:p w:rsidR="00241D15" w:rsidRPr="00506F2B" w:rsidRDefault="00241D15" w:rsidP="00506F2B">
            <w:pPr>
              <w:pStyle w:val="11"/>
              <w:spacing w:line="240" w:lineRule="auto"/>
              <w:ind w:left="164"/>
              <w:rPr>
                <w:rFonts w:ascii="Times New Roman" w:hAnsi="Times New Roman" w:cs="Times New Roman"/>
                <w:sz w:val="28"/>
                <w:szCs w:val="28"/>
              </w:rPr>
            </w:pPr>
          </w:p>
          <w:p w:rsidR="00241D15" w:rsidRPr="00506F2B" w:rsidRDefault="00241D15" w:rsidP="00506F2B">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9 Судові рішення. Зміст та види.</w:t>
            </w:r>
          </w:p>
          <w:p w:rsidR="00241D15" w:rsidRPr="00506F2B" w:rsidRDefault="00241D15" w:rsidP="00506F2B">
            <w:pPr>
              <w:pStyle w:val="11"/>
              <w:spacing w:line="240" w:lineRule="auto"/>
              <w:ind w:left="164"/>
              <w:rPr>
                <w:rFonts w:ascii="Times New Roman" w:hAnsi="Times New Roman" w:cs="Times New Roman"/>
                <w:sz w:val="28"/>
                <w:szCs w:val="28"/>
              </w:rPr>
            </w:pPr>
          </w:p>
          <w:p w:rsidR="00241D15" w:rsidRPr="00506F2B" w:rsidRDefault="00241D15" w:rsidP="00AA2615">
            <w:pPr>
              <w:pStyle w:val="11"/>
              <w:spacing w:line="240" w:lineRule="auto"/>
              <w:ind w:left="164"/>
              <w:rPr>
                <w:rFonts w:ascii="Times New Roman" w:hAnsi="Times New Roman" w:cs="Times New Roman"/>
                <w:sz w:val="28"/>
                <w:szCs w:val="28"/>
              </w:rPr>
            </w:pPr>
            <w:r w:rsidRPr="00506F2B">
              <w:rPr>
                <w:rFonts w:ascii="Times New Roman" w:hAnsi="Times New Roman" w:cs="Times New Roman"/>
                <w:sz w:val="28"/>
                <w:szCs w:val="28"/>
              </w:rPr>
              <w:t>Тема 10 Процедури розгляду судових рішень.</w:t>
            </w:r>
          </w:p>
        </w:tc>
        <w:tc>
          <w:tcPr>
            <w:tcW w:w="992" w:type="dxa"/>
            <w:vMerge w:val="restart"/>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48</w:t>
            </w:r>
          </w:p>
        </w:tc>
        <w:tc>
          <w:tcPr>
            <w:tcW w:w="992"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4</w:t>
            </w:r>
          </w:p>
        </w:tc>
        <w:tc>
          <w:tcPr>
            <w:tcW w:w="1276"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4</w:t>
            </w:r>
          </w:p>
        </w:tc>
        <w:tc>
          <w:tcPr>
            <w:tcW w:w="992" w:type="dxa"/>
            <w:gridSpan w:val="2"/>
            <w:vMerge w:val="restart"/>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32</w:t>
            </w:r>
          </w:p>
        </w:tc>
      </w:tr>
      <w:tr w:rsidR="00241D15" w:rsidRPr="00506F2B" w:rsidTr="00865403">
        <w:trPr>
          <w:gridAfter w:val="1"/>
          <w:wAfter w:w="25" w:type="dxa"/>
          <w:trHeight w:val="538"/>
        </w:trPr>
        <w:tc>
          <w:tcPr>
            <w:tcW w:w="5104" w:type="dxa"/>
            <w:gridSpan w:val="4"/>
            <w:vMerge/>
            <w:vAlign w:val="center"/>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ign w:val="center"/>
          </w:tcPr>
          <w:p w:rsidR="00241D15" w:rsidRPr="00506F2B" w:rsidRDefault="00241D15" w:rsidP="00506F2B">
            <w:pPr>
              <w:rPr>
                <w:sz w:val="28"/>
                <w:szCs w:val="28"/>
                <w:lang w:val="uk-UA" w:eastAsia="uk-UA"/>
              </w:rPr>
            </w:pPr>
          </w:p>
        </w:tc>
        <w:tc>
          <w:tcPr>
            <w:tcW w:w="992"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ign w:val="center"/>
          </w:tcPr>
          <w:p w:rsidR="00241D15" w:rsidRPr="00506F2B" w:rsidRDefault="00241D15" w:rsidP="00506F2B">
            <w:pPr>
              <w:rPr>
                <w:sz w:val="28"/>
                <w:szCs w:val="28"/>
                <w:lang w:val="uk-UA" w:eastAsia="uk-UA"/>
              </w:rPr>
            </w:pPr>
          </w:p>
        </w:tc>
      </w:tr>
      <w:tr w:rsidR="00241D15" w:rsidRPr="00506F2B" w:rsidTr="00865403">
        <w:trPr>
          <w:gridAfter w:val="1"/>
          <w:wAfter w:w="25" w:type="dxa"/>
          <w:trHeight w:val="460"/>
        </w:trPr>
        <w:tc>
          <w:tcPr>
            <w:tcW w:w="5104" w:type="dxa"/>
            <w:gridSpan w:val="4"/>
            <w:vMerge/>
            <w:vAlign w:val="center"/>
          </w:tcPr>
          <w:p w:rsidR="00241D15" w:rsidRPr="00506F2B" w:rsidRDefault="00241D15" w:rsidP="00506F2B">
            <w:pPr>
              <w:pStyle w:val="11"/>
              <w:spacing w:line="240" w:lineRule="auto"/>
              <w:ind w:left="164"/>
              <w:rPr>
                <w:rFonts w:ascii="Times New Roman" w:hAnsi="Times New Roman" w:cs="Times New Roman"/>
                <w:sz w:val="28"/>
                <w:szCs w:val="28"/>
              </w:rPr>
            </w:pPr>
          </w:p>
        </w:tc>
        <w:tc>
          <w:tcPr>
            <w:tcW w:w="992" w:type="dxa"/>
            <w:vMerge/>
            <w:vAlign w:val="center"/>
          </w:tcPr>
          <w:p w:rsidR="00241D15" w:rsidRPr="00506F2B" w:rsidRDefault="00241D15" w:rsidP="00506F2B">
            <w:pPr>
              <w:rPr>
                <w:sz w:val="28"/>
                <w:szCs w:val="28"/>
                <w:lang w:val="uk-UA" w:eastAsia="uk-UA"/>
              </w:rPr>
            </w:pPr>
          </w:p>
        </w:tc>
        <w:tc>
          <w:tcPr>
            <w:tcW w:w="992"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1276" w:type="dxa"/>
            <w:vAlign w:val="center"/>
          </w:tcPr>
          <w:p w:rsidR="00241D15" w:rsidRPr="00506F2B" w:rsidRDefault="00241D15" w:rsidP="00506F2B">
            <w:pPr>
              <w:pStyle w:val="11"/>
              <w:spacing w:line="240" w:lineRule="auto"/>
              <w:ind w:left="164"/>
              <w:jc w:val="center"/>
              <w:rPr>
                <w:rFonts w:ascii="Times New Roman" w:hAnsi="Times New Roman" w:cs="Times New Roman"/>
                <w:sz w:val="28"/>
                <w:szCs w:val="28"/>
              </w:rPr>
            </w:pPr>
            <w:r w:rsidRPr="00506F2B">
              <w:rPr>
                <w:rFonts w:ascii="Times New Roman" w:hAnsi="Times New Roman" w:cs="Times New Roman"/>
                <w:sz w:val="28"/>
                <w:szCs w:val="28"/>
              </w:rPr>
              <w:t>2</w:t>
            </w:r>
          </w:p>
        </w:tc>
        <w:tc>
          <w:tcPr>
            <w:tcW w:w="992" w:type="dxa"/>
            <w:gridSpan w:val="2"/>
            <w:vMerge/>
            <w:vAlign w:val="center"/>
          </w:tcPr>
          <w:p w:rsidR="00241D15" w:rsidRPr="00506F2B" w:rsidRDefault="00241D15" w:rsidP="00506F2B">
            <w:pPr>
              <w:rPr>
                <w:sz w:val="28"/>
                <w:szCs w:val="28"/>
                <w:lang w:val="uk-UA" w:eastAsia="uk-UA"/>
              </w:rPr>
            </w:pPr>
          </w:p>
        </w:tc>
      </w:tr>
      <w:tr w:rsidR="00241D15" w:rsidRPr="00506F2B" w:rsidTr="00865403">
        <w:trPr>
          <w:gridAfter w:val="1"/>
          <w:wAfter w:w="25" w:type="dxa"/>
        </w:trPr>
        <w:tc>
          <w:tcPr>
            <w:tcW w:w="1560" w:type="dxa"/>
          </w:tcPr>
          <w:p w:rsidR="00241D15" w:rsidRPr="00506F2B" w:rsidRDefault="00241D15" w:rsidP="00506F2B">
            <w:pPr>
              <w:pStyle w:val="11"/>
              <w:spacing w:line="240" w:lineRule="auto"/>
              <w:ind w:left="164"/>
              <w:jc w:val="center"/>
              <w:rPr>
                <w:rFonts w:ascii="Times New Roman" w:hAnsi="Times New Roman" w:cs="Times New Roman"/>
                <w:sz w:val="28"/>
                <w:szCs w:val="28"/>
              </w:rPr>
            </w:pPr>
          </w:p>
        </w:tc>
        <w:tc>
          <w:tcPr>
            <w:tcW w:w="3544" w:type="dxa"/>
            <w:gridSpan w:val="3"/>
          </w:tcPr>
          <w:p w:rsidR="00241D15" w:rsidRPr="00506F2B" w:rsidRDefault="00241D15" w:rsidP="00506F2B">
            <w:pPr>
              <w:pStyle w:val="11"/>
              <w:spacing w:line="240" w:lineRule="auto"/>
              <w:ind w:left="164"/>
              <w:jc w:val="center"/>
              <w:rPr>
                <w:rFonts w:ascii="Times New Roman" w:hAnsi="Times New Roman" w:cs="Times New Roman"/>
                <w:sz w:val="28"/>
                <w:szCs w:val="28"/>
              </w:rPr>
            </w:pPr>
          </w:p>
        </w:tc>
        <w:tc>
          <w:tcPr>
            <w:tcW w:w="992" w:type="dxa"/>
          </w:tcPr>
          <w:p w:rsidR="00241D15" w:rsidRPr="00506F2B" w:rsidRDefault="00241D15" w:rsidP="00506F2B">
            <w:pPr>
              <w:pStyle w:val="11"/>
              <w:spacing w:line="240" w:lineRule="auto"/>
              <w:ind w:left="164"/>
              <w:jc w:val="center"/>
              <w:rPr>
                <w:rFonts w:ascii="Times New Roman" w:hAnsi="Times New Roman" w:cs="Times New Roman"/>
                <w:b/>
                <w:sz w:val="28"/>
                <w:szCs w:val="28"/>
              </w:rPr>
            </w:pPr>
            <w:r w:rsidRPr="00506F2B">
              <w:rPr>
                <w:rFonts w:ascii="Times New Roman" w:hAnsi="Times New Roman" w:cs="Times New Roman"/>
                <w:b/>
                <w:sz w:val="28"/>
                <w:szCs w:val="28"/>
              </w:rPr>
              <w:t>120</w:t>
            </w:r>
          </w:p>
        </w:tc>
        <w:tc>
          <w:tcPr>
            <w:tcW w:w="992" w:type="dxa"/>
          </w:tcPr>
          <w:p w:rsidR="00241D15" w:rsidRPr="00506F2B" w:rsidRDefault="00241D15" w:rsidP="00506F2B">
            <w:pPr>
              <w:pStyle w:val="11"/>
              <w:spacing w:line="240" w:lineRule="auto"/>
              <w:ind w:left="164"/>
              <w:jc w:val="center"/>
              <w:rPr>
                <w:rFonts w:ascii="Times New Roman" w:hAnsi="Times New Roman" w:cs="Times New Roman"/>
                <w:b/>
                <w:sz w:val="28"/>
                <w:szCs w:val="28"/>
              </w:rPr>
            </w:pPr>
            <w:r w:rsidRPr="00506F2B">
              <w:rPr>
                <w:rFonts w:ascii="Times New Roman" w:hAnsi="Times New Roman" w:cs="Times New Roman"/>
                <w:b/>
                <w:sz w:val="28"/>
                <w:szCs w:val="28"/>
              </w:rPr>
              <w:t>20</w:t>
            </w:r>
          </w:p>
        </w:tc>
        <w:tc>
          <w:tcPr>
            <w:tcW w:w="1276" w:type="dxa"/>
          </w:tcPr>
          <w:p w:rsidR="00241D15" w:rsidRPr="00506F2B" w:rsidRDefault="00241D15" w:rsidP="00506F2B">
            <w:pPr>
              <w:pStyle w:val="11"/>
              <w:spacing w:line="240" w:lineRule="auto"/>
              <w:ind w:left="164"/>
              <w:jc w:val="center"/>
              <w:rPr>
                <w:rFonts w:ascii="Times New Roman" w:hAnsi="Times New Roman" w:cs="Times New Roman"/>
                <w:b/>
                <w:sz w:val="28"/>
                <w:szCs w:val="28"/>
              </w:rPr>
            </w:pPr>
            <w:r w:rsidRPr="00506F2B">
              <w:rPr>
                <w:rFonts w:ascii="Times New Roman" w:hAnsi="Times New Roman" w:cs="Times New Roman"/>
                <w:b/>
                <w:sz w:val="28"/>
                <w:szCs w:val="28"/>
              </w:rPr>
              <w:t>20</w:t>
            </w:r>
          </w:p>
        </w:tc>
        <w:tc>
          <w:tcPr>
            <w:tcW w:w="992" w:type="dxa"/>
            <w:gridSpan w:val="2"/>
          </w:tcPr>
          <w:p w:rsidR="00241D15" w:rsidRPr="00506F2B" w:rsidRDefault="00241D15" w:rsidP="00506F2B">
            <w:pPr>
              <w:pStyle w:val="11"/>
              <w:spacing w:line="240" w:lineRule="auto"/>
              <w:ind w:left="164"/>
              <w:jc w:val="center"/>
              <w:rPr>
                <w:rFonts w:ascii="Times New Roman" w:hAnsi="Times New Roman" w:cs="Times New Roman"/>
                <w:b/>
                <w:sz w:val="28"/>
                <w:szCs w:val="28"/>
              </w:rPr>
            </w:pPr>
            <w:r w:rsidRPr="00506F2B">
              <w:rPr>
                <w:rFonts w:ascii="Times New Roman" w:hAnsi="Times New Roman" w:cs="Times New Roman"/>
                <w:b/>
                <w:sz w:val="28"/>
                <w:szCs w:val="28"/>
              </w:rPr>
              <w:t>80</w:t>
            </w:r>
          </w:p>
        </w:tc>
      </w:tr>
      <w:tr w:rsidR="00241D15" w:rsidRPr="00506F2B" w:rsidTr="00865403">
        <w:trPr>
          <w:gridAfter w:val="2"/>
          <w:wAfter w:w="36" w:type="dxa"/>
        </w:trPr>
        <w:tc>
          <w:tcPr>
            <w:tcW w:w="9345" w:type="dxa"/>
            <w:gridSpan w:val="8"/>
          </w:tcPr>
          <w:p w:rsidR="00241D15" w:rsidRPr="00506F2B" w:rsidRDefault="004B56DF" w:rsidP="00506F2B">
            <w:pPr>
              <w:jc w:val="center"/>
              <w:rPr>
                <w:b/>
                <w:sz w:val="28"/>
                <w:szCs w:val="28"/>
                <w:lang w:val="uk-UA"/>
              </w:rPr>
            </w:pPr>
            <w:r w:rsidRPr="00506F2B">
              <w:rPr>
                <w:b/>
                <w:sz w:val="28"/>
                <w:szCs w:val="28"/>
                <w:lang w:val="uk-UA"/>
              </w:rPr>
              <w:lastRenderedPageBreak/>
              <w:t>5. Політика навчальної дисц</w:t>
            </w:r>
            <w:r w:rsidR="00241D15" w:rsidRPr="00506F2B">
              <w:rPr>
                <w:b/>
                <w:sz w:val="28"/>
                <w:szCs w:val="28"/>
                <w:lang w:val="uk-UA"/>
              </w:rPr>
              <w:t>ипліни</w:t>
            </w:r>
          </w:p>
        </w:tc>
      </w:tr>
      <w:tr w:rsidR="00241D15" w:rsidRPr="00506F2B" w:rsidTr="00865403">
        <w:trPr>
          <w:gridAfter w:val="2"/>
          <w:wAfter w:w="36" w:type="dxa"/>
        </w:trPr>
        <w:tc>
          <w:tcPr>
            <w:tcW w:w="1898" w:type="dxa"/>
            <w:gridSpan w:val="2"/>
          </w:tcPr>
          <w:p w:rsidR="00241D15" w:rsidRPr="00506F2B" w:rsidRDefault="00241D15" w:rsidP="00506F2B">
            <w:pPr>
              <w:pStyle w:val="11"/>
              <w:widowControl w:val="0"/>
              <w:spacing w:line="240" w:lineRule="auto"/>
              <w:jc w:val="center"/>
              <w:rPr>
                <w:rFonts w:ascii="Times New Roman" w:hAnsi="Times New Roman" w:cs="Times New Roman"/>
                <w:sz w:val="28"/>
                <w:szCs w:val="28"/>
                <w:lang w:eastAsia="en-US"/>
              </w:rPr>
            </w:pPr>
            <w:r w:rsidRPr="00506F2B">
              <w:rPr>
                <w:rFonts w:ascii="Times New Roman" w:hAnsi="Times New Roman" w:cs="Times New Roman"/>
                <w:sz w:val="28"/>
                <w:szCs w:val="28"/>
                <w:lang w:eastAsia="en-US"/>
              </w:rPr>
              <w:t>Загальна система оцінювання курсу</w:t>
            </w:r>
          </w:p>
        </w:tc>
        <w:tc>
          <w:tcPr>
            <w:tcW w:w="7447" w:type="dxa"/>
            <w:gridSpan w:val="6"/>
          </w:tcPr>
          <w:p w:rsidR="00241D15" w:rsidRPr="00506F2B" w:rsidRDefault="00241D15" w:rsidP="00506F2B">
            <w:pPr>
              <w:autoSpaceDE w:val="0"/>
              <w:autoSpaceDN w:val="0"/>
              <w:adjustRightInd w:val="0"/>
              <w:jc w:val="both"/>
              <w:rPr>
                <w:sz w:val="28"/>
                <w:szCs w:val="28"/>
                <w:lang w:val="uk-UA" w:eastAsia="en-US"/>
              </w:rPr>
            </w:pPr>
            <w:r w:rsidRPr="00506F2B">
              <w:rPr>
                <w:sz w:val="28"/>
                <w:szCs w:val="28"/>
                <w:lang w:val="uk-UA" w:eastAsia="en-US"/>
              </w:rPr>
              <w:t>Підсумкова оцінка за дисципліну складається з таких компонентів:</w:t>
            </w:r>
          </w:p>
          <w:p w:rsidR="00241D15" w:rsidRPr="00506F2B" w:rsidRDefault="00241D15" w:rsidP="00506F2B">
            <w:pPr>
              <w:autoSpaceDE w:val="0"/>
              <w:autoSpaceDN w:val="0"/>
              <w:adjustRightInd w:val="0"/>
              <w:jc w:val="both"/>
              <w:rPr>
                <w:sz w:val="28"/>
                <w:szCs w:val="28"/>
                <w:lang w:val="uk-UA" w:eastAsia="en-US"/>
              </w:rPr>
            </w:pPr>
            <w:r w:rsidRPr="00506F2B">
              <w:rPr>
                <w:sz w:val="28"/>
                <w:szCs w:val="28"/>
                <w:lang w:val="uk-UA" w:eastAsia="en-US"/>
              </w:rPr>
              <w:t>• Активність під час семінарських занять до 35 %</w:t>
            </w:r>
          </w:p>
          <w:p w:rsidR="00241D15" w:rsidRPr="00506F2B" w:rsidRDefault="00241D15" w:rsidP="00506F2B">
            <w:pPr>
              <w:autoSpaceDE w:val="0"/>
              <w:autoSpaceDN w:val="0"/>
              <w:adjustRightInd w:val="0"/>
              <w:jc w:val="both"/>
              <w:rPr>
                <w:sz w:val="28"/>
                <w:szCs w:val="28"/>
                <w:lang w:val="uk-UA" w:eastAsia="en-US"/>
              </w:rPr>
            </w:pPr>
            <w:r w:rsidRPr="00506F2B">
              <w:rPr>
                <w:sz w:val="28"/>
                <w:szCs w:val="28"/>
                <w:lang w:val="uk-UA" w:eastAsia="en-US"/>
              </w:rPr>
              <w:t>• Індивідуальне завдання до 25 %</w:t>
            </w:r>
          </w:p>
          <w:p w:rsidR="00241D15" w:rsidRPr="00506F2B" w:rsidRDefault="00241D15" w:rsidP="00506F2B">
            <w:pPr>
              <w:jc w:val="both"/>
              <w:rPr>
                <w:sz w:val="28"/>
                <w:szCs w:val="28"/>
                <w:lang w:val="uk-UA" w:eastAsia="en-US"/>
              </w:rPr>
            </w:pPr>
            <w:r w:rsidRPr="00506F2B">
              <w:rPr>
                <w:sz w:val="28"/>
                <w:szCs w:val="28"/>
                <w:lang w:val="uk-UA" w:eastAsia="en-US"/>
              </w:rPr>
              <w:t>• Екзамен = 40 %</w:t>
            </w:r>
          </w:p>
          <w:p w:rsidR="00241D15" w:rsidRPr="00506F2B" w:rsidRDefault="00241D15" w:rsidP="00506F2B">
            <w:pPr>
              <w:jc w:val="both"/>
              <w:rPr>
                <w:sz w:val="28"/>
                <w:szCs w:val="28"/>
                <w:lang w:val="uk-UA" w:eastAsia="en-US"/>
              </w:rPr>
            </w:pPr>
            <w:r w:rsidRPr="00506F2B">
              <w:rPr>
                <w:sz w:val="28"/>
                <w:szCs w:val="28"/>
                <w:lang w:val="uk-UA" w:eastAsia="en-US"/>
              </w:rPr>
              <w:t xml:space="preserve">Екзамен усний згідно з переліком питань. Екзамен проводиться шляхом усного індивідуального опитування. Кожен білет містить три питання з різних тем в межах навчального матеріалу дисципліни. Викладач може ставити додаткові питання, пов’язані з тими, що містяться у білеті, якщо студент допускає неточності чи не розкриває зміст питання у достатній мірі. </w:t>
            </w:r>
          </w:p>
          <w:p w:rsidR="00241D15" w:rsidRPr="00506F2B" w:rsidRDefault="00241D15" w:rsidP="00506F2B">
            <w:pPr>
              <w:autoSpaceDE w:val="0"/>
              <w:autoSpaceDN w:val="0"/>
              <w:adjustRightInd w:val="0"/>
              <w:jc w:val="both"/>
              <w:rPr>
                <w:sz w:val="28"/>
                <w:szCs w:val="28"/>
                <w:lang w:val="uk-UA" w:eastAsia="en-US"/>
              </w:rPr>
            </w:pPr>
            <w:r w:rsidRPr="00506F2B">
              <w:rPr>
                <w:sz w:val="28"/>
                <w:szCs w:val="28"/>
                <w:lang w:val="uk-UA" w:eastAsia="en-US"/>
              </w:rPr>
              <w:t>З метою виявлення рівня опрацювання теми всіма студентами групи на початку заняття може проводитися опитування, тестування чи письмова робота, що передбачає відповідь на проблемні питання, пов’язаних з темою семінарського заняття. Основною формою проведення семінарського заняття є дискусія з питань,</w:t>
            </w:r>
            <w:r w:rsidR="00506F2B">
              <w:rPr>
                <w:sz w:val="28"/>
                <w:szCs w:val="28"/>
                <w:lang w:val="uk-UA" w:eastAsia="en-US"/>
              </w:rPr>
              <w:t xml:space="preserve"> </w:t>
            </w:r>
            <w:r w:rsidRPr="00506F2B">
              <w:rPr>
                <w:sz w:val="28"/>
                <w:szCs w:val="28"/>
                <w:lang w:val="uk-UA" w:eastAsia="en-US"/>
              </w:rPr>
              <w:t>визначених планом семінарського заняття. Під час дискусії студенти повинні продемонструвати належний рівень засвоєння лекційного матеріалу, сумлінне опрацювання нормативних джерел, основної та додаткової літератури, проявити креативність, здатність до аналітичного та критичного мислення.</w:t>
            </w:r>
          </w:p>
        </w:tc>
      </w:tr>
      <w:tr w:rsidR="00241D15" w:rsidRPr="00506F2B" w:rsidTr="00865403">
        <w:trPr>
          <w:gridAfter w:val="2"/>
          <w:wAfter w:w="36" w:type="dxa"/>
        </w:trPr>
        <w:tc>
          <w:tcPr>
            <w:tcW w:w="1898" w:type="dxa"/>
            <w:gridSpan w:val="2"/>
          </w:tcPr>
          <w:p w:rsidR="00241D15" w:rsidRPr="00506F2B" w:rsidRDefault="00241D15" w:rsidP="00506F2B">
            <w:pPr>
              <w:pStyle w:val="11"/>
              <w:widowControl w:val="0"/>
              <w:spacing w:line="240" w:lineRule="auto"/>
              <w:jc w:val="center"/>
              <w:rPr>
                <w:rFonts w:ascii="Times New Roman" w:hAnsi="Times New Roman" w:cs="Times New Roman"/>
                <w:sz w:val="28"/>
                <w:szCs w:val="28"/>
                <w:lang w:eastAsia="en-US"/>
              </w:rPr>
            </w:pPr>
            <w:r w:rsidRPr="00506F2B">
              <w:rPr>
                <w:rFonts w:ascii="Times New Roman" w:hAnsi="Times New Roman" w:cs="Times New Roman"/>
                <w:sz w:val="28"/>
                <w:szCs w:val="28"/>
                <w:lang w:eastAsia="en-US"/>
              </w:rPr>
              <w:t xml:space="preserve">Форми оцінювання </w:t>
            </w:r>
          </w:p>
        </w:tc>
        <w:tc>
          <w:tcPr>
            <w:tcW w:w="7447" w:type="dxa"/>
            <w:gridSpan w:val="6"/>
          </w:tcPr>
          <w:p w:rsidR="00241D15" w:rsidRPr="00506F2B" w:rsidRDefault="00241D15" w:rsidP="00506F2B">
            <w:pPr>
              <w:jc w:val="both"/>
              <w:rPr>
                <w:sz w:val="28"/>
                <w:szCs w:val="28"/>
                <w:lang w:val="uk-UA"/>
              </w:rPr>
            </w:pPr>
            <w:r w:rsidRPr="00506F2B">
              <w:rPr>
                <w:sz w:val="28"/>
                <w:szCs w:val="28"/>
                <w:lang w:val="uk-UA"/>
              </w:rPr>
              <w:t>Екзамен, письмове</w:t>
            </w:r>
            <w:r w:rsidR="00506F2B">
              <w:rPr>
                <w:sz w:val="28"/>
                <w:szCs w:val="28"/>
                <w:lang w:val="uk-UA"/>
              </w:rPr>
              <w:t xml:space="preserve"> </w:t>
            </w:r>
            <w:r w:rsidRPr="00506F2B">
              <w:rPr>
                <w:sz w:val="28"/>
                <w:szCs w:val="28"/>
                <w:lang w:val="uk-UA"/>
              </w:rPr>
              <w:t>та усне</w:t>
            </w:r>
            <w:r w:rsidR="00506F2B">
              <w:rPr>
                <w:sz w:val="28"/>
                <w:szCs w:val="28"/>
                <w:lang w:val="uk-UA"/>
              </w:rPr>
              <w:t xml:space="preserve"> </w:t>
            </w:r>
            <w:r w:rsidRPr="00506F2B">
              <w:rPr>
                <w:sz w:val="28"/>
                <w:szCs w:val="28"/>
                <w:lang w:val="uk-UA"/>
              </w:rPr>
              <w:t>опитування, підсумковий контроль у формі</w:t>
            </w:r>
            <w:r w:rsidR="00506F2B">
              <w:rPr>
                <w:sz w:val="28"/>
                <w:szCs w:val="28"/>
                <w:lang w:val="uk-UA"/>
              </w:rPr>
              <w:t xml:space="preserve"> </w:t>
            </w:r>
            <w:r w:rsidRPr="00506F2B">
              <w:rPr>
                <w:sz w:val="28"/>
                <w:szCs w:val="28"/>
                <w:lang w:val="uk-UA"/>
              </w:rPr>
              <w:t>тестів та усного</w:t>
            </w:r>
            <w:r w:rsidR="00506F2B">
              <w:rPr>
                <w:sz w:val="28"/>
                <w:szCs w:val="28"/>
                <w:lang w:val="uk-UA"/>
              </w:rPr>
              <w:t xml:space="preserve"> </w:t>
            </w:r>
            <w:r w:rsidRPr="00506F2B">
              <w:rPr>
                <w:sz w:val="28"/>
                <w:szCs w:val="28"/>
                <w:lang w:val="uk-UA"/>
              </w:rPr>
              <w:t>опитування.</w:t>
            </w:r>
          </w:p>
        </w:tc>
      </w:tr>
      <w:tr w:rsidR="00241D15" w:rsidRPr="00506F2B" w:rsidTr="00865403">
        <w:trPr>
          <w:gridAfter w:val="2"/>
          <w:wAfter w:w="36" w:type="dxa"/>
        </w:trPr>
        <w:tc>
          <w:tcPr>
            <w:tcW w:w="1898" w:type="dxa"/>
            <w:gridSpan w:val="2"/>
          </w:tcPr>
          <w:p w:rsidR="00241D15" w:rsidRPr="00506F2B" w:rsidRDefault="00241D15" w:rsidP="00506F2B">
            <w:pPr>
              <w:pStyle w:val="11"/>
              <w:widowControl w:val="0"/>
              <w:spacing w:line="240" w:lineRule="auto"/>
              <w:jc w:val="center"/>
              <w:rPr>
                <w:rFonts w:ascii="Times New Roman" w:hAnsi="Times New Roman" w:cs="Times New Roman"/>
                <w:sz w:val="28"/>
                <w:szCs w:val="28"/>
                <w:lang w:eastAsia="en-US"/>
              </w:rPr>
            </w:pPr>
            <w:r w:rsidRPr="00506F2B">
              <w:rPr>
                <w:rFonts w:ascii="Times New Roman" w:hAnsi="Times New Roman" w:cs="Times New Roman"/>
                <w:sz w:val="28"/>
                <w:szCs w:val="28"/>
                <w:lang w:eastAsia="en-US"/>
              </w:rPr>
              <w:t>Умови допуску до підсумкового контролю</w:t>
            </w:r>
          </w:p>
        </w:tc>
        <w:tc>
          <w:tcPr>
            <w:tcW w:w="7447" w:type="dxa"/>
            <w:gridSpan w:val="6"/>
          </w:tcPr>
          <w:p w:rsidR="00241D15" w:rsidRPr="00506F2B" w:rsidRDefault="00241D15" w:rsidP="00506F2B">
            <w:pPr>
              <w:pStyle w:val="11"/>
              <w:widowControl w:val="0"/>
              <w:spacing w:line="240" w:lineRule="auto"/>
              <w:jc w:val="both"/>
              <w:rPr>
                <w:rFonts w:ascii="Times New Roman" w:hAnsi="Times New Roman" w:cs="Times New Roman"/>
                <w:sz w:val="28"/>
                <w:szCs w:val="28"/>
                <w:lang w:eastAsia="en-US"/>
              </w:rPr>
            </w:pPr>
            <w:r w:rsidRPr="00506F2B">
              <w:rPr>
                <w:rFonts w:ascii="Times New Roman" w:hAnsi="Times New Roman" w:cs="Times New Roman"/>
                <w:sz w:val="28"/>
                <w:szCs w:val="28"/>
                <w:lang w:eastAsia="en-US"/>
              </w:rPr>
              <w:t>Обов’язкова присутність на лекційних заняттях. У разі пропуску 1/3 лекційних занять студент не допускається до підсумкового контролю. Активність впродовж семестру, відвідування і відпрацювання усіх семінарських занять обов’язково. Відпрацювання семінарських занять (можливе шляхом опитування) здійснюється протягом двох тижнів з моменту пропуску заняття або отримання незадовільної оцінки на занятті.</w:t>
            </w:r>
          </w:p>
        </w:tc>
      </w:tr>
    </w:tbl>
    <w:p w:rsidR="00865403" w:rsidRDefault="00865403"/>
    <w:p w:rsidR="00865403" w:rsidRDefault="00865403">
      <w:r>
        <w:br w:type="page"/>
      </w:r>
    </w:p>
    <w:p w:rsidR="00865403" w:rsidRDefault="00865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241D15" w:rsidRPr="00506F2B">
        <w:tc>
          <w:tcPr>
            <w:tcW w:w="9345" w:type="dxa"/>
          </w:tcPr>
          <w:p w:rsidR="00241D15" w:rsidRPr="00506F2B" w:rsidRDefault="00241D15" w:rsidP="00506F2B">
            <w:pPr>
              <w:autoSpaceDE w:val="0"/>
              <w:autoSpaceDN w:val="0"/>
              <w:adjustRightInd w:val="0"/>
              <w:jc w:val="both"/>
              <w:rPr>
                <w:b/>
                <w:bCs/>
                <w:color w:val="000000"/>
                <w:sz w:val="28"/>
                <w:szCs w:val="28"/>
                <w:lang w:val="uk-UA" w:eastAsia="uk-UA"/>
              </w:rPr>
            </w:pPr>
            <w:r w:rsidRPr="00506F2B">
              <w:rPr>
                <w:sz w:val="28"/>
                <w:szCs w:val="28"/>
                <w:u w:val="single"/>
                <w:lang w:val="uk-UA" w:eastAsia="en-US"/>
              </w:rPr>
              <w:t>Семінарські заняття:</w:t>
            </w:r>
          </w:p>
          <w:p w:rsidR="00241D15" w:rsidRPr="00506F2B" w:rsidRDefault="00241D15" w:rsidP="00506F2B">
            <w:pPr>
              <w:autoSpaceDE w:val="0"/>
              <w:autoSpaceDN w:val="0"/>
              <w:adjustRightInd w:val="0"/>
              <w:jc w:val="both"/>
              <w:rPr>
                <w:sz w:val="28"/>
                <w:szCs w:val="28"/>
                <w:lang w:val="uk-UA" w:eastAsia="en-US"/>
              </w:rPr>
            </w:pPr>
            <w:r w:rsidRPr="00506F2B">
              <w:rPr>
                <w:sz w:val="28"/>
                <w:szCs w:val="28"/>
                <w:lang w:val="uk-UA" w:eastAsia="en-US"/>
              </w:rPr>
              <w:t>Попередня підготовка до розгляду питань, активна участь під час обговорення.</w:t>
            </w:r>
          </w:p>
          <w:p w:rsidR="00241D15" w:rsidRPr="00506F2B" w:rsidRDefault="00241D15" w:rsidP="00506F2B">
            <w:pPr>
              <w:autoSpaceDE w:val="0"/>
              <w:autoSpaceDN w:val="0"/>
              <w:adjustRightInd w:val="0"/>
              <w:jc w:val="both"/>
              <w:rPr>
                <w:sz w:val="28"/>
                <w:szCs w:val="28"/>
                <w:u w:val="single"/>
                <w:lang w:val="uk-UA" w:eastAsia="en-US"/>
              </w:rPr>
            </w:pPr>
            <w:r w:rsidRPr="00506F2B">
              <w:rPr>
                <w:sz w:val="28"/>
                <w:szCs w:val="28"/>
                <w:u w:val="single"/>
                <w:lang w:val="uk-UA" w:eastAsia="en-US"/>
              </w:rPr>
              <w:t>Письмові роботи:</w:t>
            </w:r>
          </w:p>
          <w:p w:rsidR="00241D15" w:rsidRPr="00506F2B" w:rsidRDefault="00241D15" w:rsidP="00506F2B">
            <w:pPr>
              <w:jc w:val="both"/>
              <w:rPr>
                <w:sz w:val="28"/>
                <w:szCs w:val="28"/>
                <w:lang w:val="uk-UA" w:eastAsia="en-US"/>
              </w:rPr>
            </w:pPr>
            <w:r w:rsidRPr="00506F2B">
              <w:rPr>
                <w:sz w:val="28"/>
                <w:szCs w:val="28"/>
                <w:lang w:val="uk-UA" w:eastAsia="en-US"/>
              </w:rPr>
              <w:t xml:space="preserve">Планується виконання студентами письмових тестових завдань, експрес-опитувань за темами навчальної дисципліни. </w:t>
            </w:r>
            <w:r w:rsidRPr="00506F2B">
              <w:rPr>
                <w:color w:val="000000"/>
                <w:sz w:val="28"/>
                <w:szCs w:val="28"/>
                <w:lang w:val="uk-UA" w:eastAsia="uk-UA"/>
              </w:rPr>
              <w:t xml:space="preserve">Письмові роботи повинні подаватись вчасно. </w:t>
            </w:r>
          </w:p>
          <w:p w:rsidR="00241D15" w:rsidRPr="00506F2B" w:rsidRDefault="00241D15" w:rsidP="00506F2B">
            <w:pPr>
              <w:jc w:val="both"/>
              <w:rPr>
                <w:sz w:val="28"/>
                <w:szCs w:val="28"/>
                <w:lang w:val="uk-UA"/>
              </w:rPr>
            </w:pPr>
            <w:r w:rsidRPr="00506F2B">
              <w:rPr>
                <w:sz w:val="28"/>
                <w:szCs w:val="28"/>
                <w:u w:val="single"/>
                <w:lang w:val="uk-UA" w:eastAsia="en-US"/>
              </w:rPr>
              <w:t>Академічна доброчесність:</w:t>
            </w:r>
          </w:p>
          <w:p w:rsidR="00241D15" w:rsidRPr="00506F2B" w:rsidRDefault="00241D15" w:rsidP="00506F2B">
            <w:pPr>
              <w:autoSpaceDE w:val="0"/>
              <w:autoSpaceDN w:val="0"/>
              <w:adjustRightInd w:val="0"/>
              <w:rPr>
                <w:color w:val="000000"/>
                <w:sz w:val="28"/>
                <w:szCs w:val="28"/>
                <w:lang w:val="uk-UA" w:eastAsia="uk-UA"/>
              </w:rPr>
            </w:pPr>
            <w:r w:rsidRPr="00506F2B">
              <w:rPr>
                <w:color w:val="000000"/>
                <w:sz w:val="28"/>
                <w:szCs w:val="28"/>
                <w:lang w:val="uk-UA" w:eastAsia="uk-UA"/>
              </w:rPr>
              <w:t xml:space="preserve">Очікується, що роботи студентів будуть їх оригінальними дослідженнями чи міркуваннями. Списування, втручання в роботу інших студентів становлять, але не обмежують, приклади можливої академічної </w:t>
            </w:r>
            <w:proofErr w:type="spellStart"/>
            <w:r w:rsidRPr="00506F2B">
              <w:rPr>
                <w:color w:val="000000"/>
                <w:sz w:val="28"/>
                <w:szCs w:val="28"/>
                <w:lang w:val="uk-UA" w:eastAsia="uk-UA"/>
              </w:rPr>
              <w:t>недоброчесності</w:t>
            </w:r>
            <w:proofErr w:type="spellEnd"/>
            <w:r w:rsidRPr="00506F2B">
              <w:rPr>
                <w:color w:val="000000"/>
                <w:sz w:val="28"/>
                <w:szCs w:val="28"/>
                <w:lang w:val="uk-UA" w:eastAsia="uk-UA"/>
              </w:rPr>
              <w:t xml:space="preserve">. Виявлення ознак академічної </w:t>
            </w:r>
            <w:proofErr w:type="spellStart"/>
            <w:r w:rsidRPr="00506F2B">
              <w:rPr>
                <w:color w:val="000000"/>
                <w:sz w:val="28"/>
                <w:szCs w:val="28"/>
                <w:lang w:val="uk-UA" w:eastAsia="uk-UA"/>
              </w:rPr>
              <w:t>недоброчесності</w:t>
            </w:r>
            <w:proofErr w:type="spellEnd"/>
            <w:r w:rsidRPr="00506F2B">
              <w:rPr>
                <w:color w:val="000000"/>
                <w:sz w:val="28"/>
                <w:szCs w:val="28"/>
                <w:lang w:val="uk-UA" w:eastAsia="uk-UA"/>
              </w:rPr>
              <w:t xml:space="preserve"> в письмовій роботі студента є підставою для її </w:t>
            </w:r>
            <w:proofErr w:type="spellStart"/>
            <w:r w:rsidRPr="00506F2B">
              <w:rPr>
                <w:color w:val="000000"/>
                <w:sz w:val="28"/>
                <w:szCs w:val="28"/>
                <w:lang w:val="uk-UA" w:eastAsia="uk-UA"/>
              </w:rPr>
              <w:t>незарахуванння</w:t>
            </w:r>
            <w:proofErr w:type="spellEnd"/>
            <w:r w:rsidRPr="00506F2B">
              <w:rPr>
                <w:color w:val="000000"/>
                <w:sz w:val="28"/>
                <w:szCs w:val="28"/>
                <w:lang w:val="uk-UA" w:eastAsia="uk-UA"/>
              </w:rPr>
              <w:t xml:space="preserve"> викладачем, незалежно від масштабів плагіату чи обману. </w:t>
            </w:r>
          </w:p>
          <w:p w:rsidR="00241D15" w:rsidRPr="00506F2B" w:rsidRDefault="00241D15" w:rsidP="00506F2B">
            <w:pPr>
              <w:jc w:val="both"/>
              <w:rPr>
                <w:sz w:val="28"/>
                <w:szCs w:val="28"/>
                <w:u w:val="single"/>
                <w:lang w:val="uk-UA" w:eastAsia="en-US"/>
              </w:rPr>
            </w:pPr>
            <w:r w:rsidRPr="00506F2B">
              <w:rPr>
                <w:sz w:val="28"/>
                <w:szCs w:val="28"/>
                <w:u w:val="single"/>
                <w:lang w:val="uk-UA" w:eastAsia="en-US"/>
              </w:rPr>
              <w:t xml:space="preserve">Відвідування занять: </w:t>
            </w:r>
          </w:p>
          <w:p w:rsidR="00241D15" w:rsidRPr="00506F2B" w:rsidRDefault="00241D15" w:rsidP="00506F2B">
            <w:pPr>
              <w:jc w:val="both"/>
              <w:rPr>
                <w:sz w:val="28"/>
                <w:szCs w:val="28"/>
                <w:u w:val="single"/>
                <w:lang w:val="uk-UA" w:eastAsia="en-US"/>
              </w:rPr>
            </w:pPr>
            <w:r w:rsidRPr="00506F2B">
              <w:rPr>
                <w:sz w:val="28"/>
                <w:szCs w:val="28"/>
                <w:lang w:val="uk-UA" w:eastAsia="en-US"/>
              </w:rPr>
              <w:t xml:space="preserve">Відвідання занять є важливою складовою навчання. Очікується, що всі студенти відвідають лекції і практичні зайняття </w:t>
            </w:r>
            <w:r w:rsidRPr="00506F2B">
              <w:rPr>
                <w:sz w:val="28"/>
                <w:szCs w:val="28"/>
                <w:lang w:val="uk-UA"/>
              </w:rPr>
              <w:t>навчальної дисципліни</w:t>
            </w:r>
            <w:r w:rsidRPr="00506F2B">
              <w:rPr>
                <w:sz w:val="28"/>
                <w:szCs w:val="28"/>
                <w:lang w:val="uk-UA" w:eastAsia="en-US"/>
              </w:rPr>
              <w:t>.</w:t>
            </w:r>
            <w:r w:rsidRPr="00506F2B">
              <w:rPr>
                <w:color w:val="000000"/>
                <w:sz w:val="28"/>
                <w:szCs w:val="28"/>
                <w:lang w:val="uk-UA" w:eastAsia="uk-UA"/>
              </w:rPr>
              <w:t xml:space="preserve"> Студенти мають інформувати викладача про неможливість відвідати заняття та його причину. Пропуск студентом заняття не звільняє його від обов’язку виконати письмове завдання, чи виконати інші види завдань передбачені програмою. Студент, який пропустив заняття з поважних причин (хвороба, відрядження тощо) може відпрацювати пропущене заняття. Термін відпрацювання – протягом двох тижнів з моменту пропуску заняття. Студенти, які пропустили 1/3 аудиторних занять і не відпрацювали їх до кінця семестру, не допускають до складання іспиту. </w:t>
            </w:r>
          </w:p>
        </w:tc>
      </w:tr>
      <w:tr w:rsidR="00241D15" w:rsidRPr="00506F2B">
        <w:tc>
          <w:tcPr>
            <w:tcW w:w="9345" w:type="dxa"/>
          </w:tcPr>
          <w:p w:rsidR="00774C02" w:rsidRPr="00506F2B" w:rsidRDefault="00774C02" w:rsidP="00506F2B">
            <w:pPr>
              <w:pStyle w:val="Default"/>
              <w:jc w:val="center"/>
              <w:rPr>
                <w:b/>
                <w:sz w:val="28"/>
                <w:szCs w:val="28"/>
              </w:rPr>
            </w:pPr>
            <w:r w:rsidRPr="00506F2B">
              <w:rPr>
                <w:b/>
                <w:sz w:val="28"/>
                <w:szCs w:val="28"/>
              </w:rPr>
              <w:t>6. Критерії оцінювання</w:t>
            </w:r>
          </w:p>
          <w:p w:rsidR="00774C02" w:rsidRPr="00506F2B" w:rsidRDefault="00774C02" w:rsidP="00506F2B">
            <w:pPr>
              <w:tabs>
                <w:tab w:val="left" w:pos="6000"/>
              </w:tabs>
              <w:ind w:right="170"/>
              <w:jc w:val="both"/>
              <w:rPr>
                <w:b/>
                <w:sz w:val="28"/>
                <w:szCs w:val="28"/>
                <w:lang w:val="uk-UA"/>
              </w:rPr>
            </w:pPr>
            <w:r w:rsidRPr="00506F2B">
              <w:rPr>
                <w:sz w:val="28"/>
                <w:szCs w:val="28"/>
                <w:lang w:val="uk-UA"/>
              </w:rPr>
              <w:t>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241D15" w:rsidRPr="00506F2B" w:rsidRDefault="00241D15" w:rsidP="00506F2B">
            <w:pPr>
              <w:jc w:val="center"/>
              <w:rPr>
                <w:b/>
                <w:sz w:val="28"/>
                <w:szCs w:val="28"/>
                <w:lang w:val="uk-UA"/>
              </w:rPr>
            </w:pPr>
          </w:p>
        </w:tc>
      </w:tr>
      <w:tr w:rsidR="00241D15" w:rsidRPr="00506F2B">
        <w:tc>
          <w:tcPr>
            <w:tcW w:w="9345" w:type="dxa"/>
          </w:tcPr>
          <w:p w:rsidR="00774C02" w:rsidRPr="00506F2B" w:rsidRDefault="00774C02" w:rsidP="00506F2B">
            <w:pPr>
              <w:tabs>
                <w:tab w:val="left" w:pos="6000"/>
              </w:tabs>
              <w:ind w:right="170"/>
              <w:jc w:val="both"/>
              <w:rPr>
                <w:sz w:val="28"/>
                <w:szCs w:val="28"/>
                <w:lang w:val="uk-UA"/>
              </w:rPr>
            </w:pPr>
            <w:r w:rsidRPr="00506F2B">
              <w:rPr>
                <w:sz w:val="28"/>
                <w:szCs w:val="28"/>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241D15" w:rsidRPr="00506F2B" w:rsidRDefault="00241D15" w:rsidP="00506F2B">
            <w:pPr>
              <w:pStyle w:val="ListParagraph"/>
              <w:keepNext/>
              <w:widowControl w:val="0"/>
              <w:tabs>
                <w:tab w:val="left" w:pos="0"/>
              </w:tabs>
              <w:autoSpaceDE w:val="0"/>
              <w:autoSpaceDN w:val="0"/>
              <w:adjustRightInd w:val="0"/>
              <w:spacing w:after="0" w:line="240" w:lineRule="auto"/>
              <w:ind w:left="0"/>
              <w:rPr>
                <w:rFonts w:ascii="Times New Roman" w:hAnsi="Times New Roman"/>
                <w:sz w:val="28"/>
                <w:szCs w:val="28"/>
              </w:rPr>
            </w:pPr>
          </w:p>
        </w:tc>
      </w:tr>
    </w:tbl>
    <w:p w:rsidR="00241D15" w:rsidRPr="00506F2B" w:rsidRDefault="00241D15" w:rsidP="00506F2B">
      <w:pPr>
        <w:jc w:val="both"/>
        <w:rPr>
          <w:sz w:val="28"/>
          <w:szCs w:val="28"/>
          <w:lang w:val="uk-UA"/>
        </w:rPr>
      </w:pPr>
      <w:bookmarkStart w:id="0" w:name="_GoBack"/>
      <w:bookmarkEnd w:id="0"/>
    </w:p>
    <w:sectPr w:rsidR="00241D15" w:rsidRPr="00506F2B" w:rsidSect="002D7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883DEE"/>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FF6A9A"/>
    <w:multiLevelType w:val="hybridMultilevel"/>
    <w:tmpl w:val="02C0ED9A"/>
    <w:lvl w:ilvl="0" w:tplc="EE6A16C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6669B7"/>
    <w:multiLevelType w:val="hybridMultilevel"/>
    <w:tmpl w:val="26F88478"/>
    <w:lvl w:ilvl="0" w:tplc="2DC2E6B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95CC1"/>
    <w:multiLevelType w:val="hybridMultilevel"/>
    <w:tmpl w:val="3B245B62"/>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1DBB3E35"/>
    <w:multiLevelType w:val="hybridMultilevel"/>
    <w:tmpl w:val="5332084E"/>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15:restartNumberingAfterBreak="0">
    <w:nsid w:val="34904147"/>
    <w:multiLevelType w:val="hybridMultilevel"/>
    <w:tmpl w:val="13DAEA18"/>
    <w:lvl w:ilvl="0" w:tplc="0419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BB25831"/>
    <w:multiLevelType w:val="hybridMultilevel"/>
    <w:tmpl w:val="238654D0"/>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6EE649A2"/>
    <w:multiLevelType w:val="hybridMultilevel"/>
    <w:tmpl w:val="ADB22E70"/>
    <w:lvl w:ilvl="0" w:tplc="9E4EA4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787631"/>
    <w:multiLevelType w:val="hybridMultilevel"/>
    <w:tmpl w:val="3D02C5C2"/>
    <w:lvl w:ilvl="0" w:tplc="B1160E7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E2"/>
    <w:rsid w:val="000A2FDD"/>
    <w:rsid w:val="00215489"/>
    <w:rsid w:val="002236E3"/>
    <w:rsid w:val="00241D15"/>
    <w:rsid w:val="002D7E36"/>
    <w:rsid w:val="0030133B"/>
    <w:rsid w:val="00343D32"/>
    <w:rsid w:val="00386E81"/>
    <w:rsid w:val="003C630C"/>
    <w:rsid w:val="003E6EB3"/>
    <w:rsid w:val="004002C2"/>
    <w:rsid w:val="00420E32"/>
    <w:rsid w:val="004345B2"/>
    <w:rsid w:val="004B56DF"/>
    <w:rsid w:val="004B7D90"/>
    <w:rsid w:val="004D2E51"/>
    <w:rsid w:val="00506F2B"/>
    <w:rsid w:val="00526A30"/>
    <w:rsid w:val="005648DA"/>
    <w:rsid w:val="005C2E8A"/>
    <w:rsid w:val="006119DB"/>
    <w:rsid w:val="006B0012"/>
    <w:rsid w:val="006B304D"/>
    <w:rsid w:val="006B5D61"/>
    <w:rsid w:val="00774C02"/>
    <w:rsid w:val="00865403"/>
    <w:rsid w:val="009A094D"/>
    <w:rsid w:val="009F4580"/>
    <w:rsid w:val="009F74A1"/>
    <w:rsid w:val="00A162F0"/>
    <w:rsid w:val="00A60F66"/>
    <w:rsid w:val="00AA2615"/>
    <w:rsid w:val="00AD28EB"/>
    <w:rsid w:val="00AE64F0"/>
    <w:rsid w:val="00B069B5"/>
    <w:rsid w:val="00C76EE2"/>
    <w:rsid w:val="00CD0809"/>
    <w:rsid w:val="00DE61F7"/>
    <w:rsid w:val="00E676F4"/>
    <w:rsid w:val="00F466AA"/>
    <w:rsid w:val="00F7354F"/>
    <w:rsid w:val="00FE3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39F8E"/>
  <w15:chartTrackingRefBased/>
  <w15:docId w15:val="{D02B2CAF-7552-4CFD-A2F3-D0306E0B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EE2"/>
    <w:rPr>
      <w:rFonts w:ascii="Times New Roman" w:hAnsi="Times New Roman"/>
      <w:sz w:val="24"/>
      <w:szCs w:val="24"/>
      <w:lang w:val="ru-RU" w:eastAsia="ru-RU"/>
    </w:rPr>
  </w:style>
  <w:style w:type="paragraph" w:styleId="1">
    <w:name w:val="heading 1"/>
    <w:basedOn w:val="a"/>
    <w:next w:val="a"/>
    <w:link w:val="10"/>
    <w:uiPriority w:val="9"/>
    <w:qFormat/>
    <w:rsid w:val="006119DB"/>
    <w:pPr>
      <w:keepNext/>
      <w:numPr>
        <w:numId w:val="5"/>
      </w:numPr>
      <w:spacing w:before="240" w:after="60"/>
      <w:outlineLvl w:val="0"/>
    </w:pPr>
    <w:rPr>
      <w:rFonts w:ascii="Arial" w:hAnsi="Arial" w:cs="Arial"/>
      <w:b/>
      <w:bCs/>
      <w:kern w:val="1"/>
      <w:sz w:val="32"/>
      <w:szCs w:val="32"/>
      <w:lang w:val="uk-UA"/>
    </w:rPr>
  </w:style>
  <w:style w:type="paragraph" w:styleId="3">
    <w:name w:val="heading 3"/>
    <w:basedOn w:val="a"/>
    <w:next w:val="a0"/>
    <w:link w:val="30"/>
    <w:uiPriority w:val="9"/>
    <w:qFormat/>
    <w:rsid w:val="006119DB"/>
    <w:pPr>
      <w:numPr>
        <w:ilvl w:val="2"/>
        <w:numId w:val="5"/>
      </w:numPr>
      <w:spacing w:line="360" w:lineRule="auto"/>
      <w:jc w:val="center"/>
      <w:outlineLvl w:val="2"/>
    </w:pPr>
    <w:rPr>
      <w:b/>
      <w:bCs/>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119DB"/>
    <w:rPr>
      <w:rFonts w:ascii="Arial" w:hAnsi="Arial" w:cs="Arial"/>
      <w:b/>
      <w:bCs/>
      <w:kern w:val="1"/>
      <w:sz w:val="32"/>
      <w:szCs w:val="32"/>
      <w:lang w:val="uk-UA" w:eastAsia="ru-RU"/>
    </w:rPr>
  </w:style>
  <w:style w:type="character" w:customStyle="1" w:styleId="30">
    <w:name w:val="Заголовок 3 Знак"/>
    <w:basedOn w:val="a1"/>
    <w:link w:val="3"/>
    <w:uiPriority w:val="9"/>
    <w:locked/>
    <w:rsid w:val="006119DB"/>
    <w:rPr>
      <w:rFonts w:ascii="Times New Roman" w:hAnsi="Times New Roman" w:cs="Times New Roman"/>
      <w:b/>
      <w:bCs/>
      <w:sz w:val="24"/>
      <w:szCs w:val="24"/>
      <w:lang w:val="uk-UA" w:eastAsia="ru-RU"/>
    </w:rPr>
  </w:style>
  <w:style w:type="character" w:styleId="a4">
    <w:name w:val="Hyperlink"/>
    <w:basedOn w:val="a1"/>
    <w:uiPriority w:val="99"/>
    <w:unhideWhenUsed/>
    <w:rsid w:val="00C76EE2"/>
    <w:rPr>
      <w:color w:val="0000FF"/>
      <w:u w:val="single"/>
    </w:rPr>
  </w:style>
  <w:style w:type="paragraph" w:customStyle="1" w:styleId="ListParagraph">
    <w:name w:val="List Paragraph"/>
    <w:basedOn w:val="a"/>
    <w:uiPriority w:val="34"/>
    <w:qFormat/>
    <w:rsid w:val="00C76EE2"/>
    <w:pPr>
      <w:spacing w:after="200" w:line="276" w:lineRule="auto"/>
      <w:ind w:left="720"/>
      <w:contextualSpacing/>
    </w:pPr>
    <w:rPr>
      <w:rFonts w:ascii="Calibri" w:hAnsi="Calibri"/>
      <w:sz w:val="22"/>
      <w:szCs w:val="22"/>
      <w:lang w:val="uk-UA" w:eastAsia="en-US"/>
    </w:rPr>
  </w:style>
  <w:style w:type="paragraph" w:customStyle="1" w:styleId="11">
    <w:name w:val="Обычный1"/>
    <w:rsid w:val="00C76EE2"/>
    <w:pPr>
      <w:spacing w:line="276" w:lineRule="auto"/>
    </w:pPr>
    <w:rPr>
      <w:rFonts w:ascii="Arial" w:hAnsi="Arial" w:cs="Arial"/>
      <w:sz w:val="22"/>
      <w:szCs w:val="22"/>
    </w:rPr>
  </w:style>
  <w:style w:type="paragraph" w:customStyle="1" w:styleId="Default">
    <w:name w:val="Default"/>
    <w:rsid w:val="006119DB"/>
    <w:pPr>
      <w:autoSpaceDE w:val="0"/>
      <w:autoSpaceDN w:val="0"/>
      <w:adjustRightInd w:val="0"/>
    </w:pPr>
    <w:rPr>
      <w:rFonts w:ascii="Times New Roman" w:hAnsi="Times New Roman"/>
      <w:color w:val="000000"/>
      <w:sz w:val="24"/>
      <w:szCs w:val="24"/>
      <w:lang w:eastAsia="en-US"/>
    </w:rPr>
  </w:style>
  <w:style w:type="paragraph" w:styleId="a0">
    <w:name w:val="Body Text"/>
    <w:basedOn w:val="a"/>
    <w:link w:val="a5"/>
    <w:uiPriority w:val="99"/>
    <w:semiHidden/>
    <w:unhideWhenUsed/>
    <w:rsid w:val="006119DB"/>
    <w:pPr>
      <w:spacing w:after="120"/>
    </w:pPr>
  </w:style>
  <w:style w:type="character" w:customStyle="1" w:styleId="a5">
    <w:name w:val="Основной текст Знак"/>
    <w:basedOn w:val="a1"/>
    <w:link w:val="a0"/>
    <w:uiPriority w:val="99"/>
    <w:semiHidden/>
    <w:locked/>
    <w:rsid w:val="006119DB"/>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05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regian@aau.edu.u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5798</Words>
  <Characters>3305</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АКАДЕМІЯ АДВОКАТУРИ УКРАЇНИ</vt:lpstr>
      <vt:lpstr/>
    </vt:vector>
  </TitlesOfParts>
  <Company>KOMP</Company>
  <LinksUpToDate>false</LinksUpToDate>
  <CharactersWithSpaces>9085</CharactersWithSpaces>
  <SharedDoc>false</SharedDoc>
  <HLinks>
    <vt:vector size="6" baseType="variant">
      <vt:variant>
        <vt:i4>7667797</vt:i4>
      </vt:variant>
      <vt:variant>
        <vt:i4>0</vt:i4>
      </vt:variant>
      <vt:variant>
        <vt:i4>0</vt:i4>
      </vt:variant>
      <vt:variant>
        <vt:i4>5</vt:i4>
      </vt:variant>
      <vt:variant>
        <vt:lpwstr>mailto:A.Eregian@aau.edu.ua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АДВОКАТУРИ УКРАЇНИ</dc:title>
  <dc:subject/>
  <dc:creator>MASHEENA</dc:creator>
  <cp:keywords/>
  <dc:description/>
  <cp:lastModifiedBy>Гончаренко С.В.</cp:lastModifiedBy>
  <cp:revision>3</cp:revision>
  <dcterms:created xsi:type="dcterms:W3CDTF">2020-02-12T16:20:00Z</dcterms:created>
  <dcterms:modified xsi:type="dcterms:W3CDTF">2020-02-12T16:22:00Z</dcterms:modified>
</cp:coreProperties>
</file>