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9D1A57" w:rsidRDefault="00F232F6" w:rsidP="002F3CE8">
      <w:pPr>
        <w:jc w:val="center"/>
        <w:rPr>
          <w:b/>
          <w:sz w:val="28"/>
          <w:szCs w:val="28"/>
          <w:lang w:val="uk-UA"/>
        </w:rPr>
      </w:pPr>
      <w:r w:rsidRPr="009D1A57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9D1A57" w:rsidRDefault="002F3CE8" w:rsidP="002F3CE8">
      <w:pPr>
        <w:jc w:val="center"/>
        <w:rPr>
          <w:sz w:val="28"/>
          <w:szCs w:val="28"/>
          <w:lang w:val="uk-UA"/>
        </w:rPr>
      </w:pPr>
      <w:r w:rsidRPr="009D1A57">
        <w:rPr>
          <w:sz w:val="28"/>
          <w:szCs w:val="28"/>
          <w:lang w:val="uk-UA"/>
        </w:rPr>
        <w:t xml:space="preserve">Кафедра </w:t>
      </w:r>
      <w:r w:rsidR="00F01EE7" w:rsidRPr="009D1A57">
        <w:rPr>
          <w:sz w:val="28"/>
          <w:szCs w:val="28"/>
          <w:lang w:val="uk-UA"/>
        </w:rPr>
        <w:t>кримінального та адміністративного права</w:t>
      </w:r>
    </w:p>
    <w:p w:rsidR="009D1A57" w:rsidRPr="009D1A57" w:rsidRDefault="009D1A57" w:rsidP="002F3CE8">
      <w:pPr>
        <w:jc w:val="center"/>
        <w:rPr>
          <w:sz w:val="28"/>
          <w:szCs w:val="28"/>
          <w:lang w:val="uk-UA"/>
        </w:rPr>
      </w:pPr>
    </w:p>
    <w:p w:rsidR="002F3CE8" w:rsidRPr="009D1A57" w:rsidRDefault="00890975" w:rsidP="002F3CE8">
      <w:pPr>
        <w:jc w:val="center"/>
        <w:rPr>
          <w:b/>
          <w:sz w:val="28"/>
          <w:szCs w:val="28"/>
          <w:lang w:val="uk-UA"/>
        </w:rPr>
      </w:pPr>
      <w:r w:rsidRPr="009D1A57">
        <w:rPr>
          <w:b/>
          <w:sz w:val="28"/>
          <w:szCs w:val="28"/>
          <w:lang w:val="uk-UA"/>
        </w:rPr>
        <w:t xml:space="preserve">МІЖНАРОДНЕ </w:t>
      </w:r>
      <w:r w:rsidR="00707BBB" w:rsidRPr="009D1A57">
        <w:rPr>
          <w:b/>
          <w:sz w:val="28"/>
          <w:szCs w:val="28"/>
          <w:lang w:val="uk-UA"/>
        </w:rPr>
        <w:t>КРИМІНАЛЬНЕ ПРАВО</w:t>
      </w:r>
    </w:p>
    <w:p w:rsidR="009D1A57" w:rsidRPr="009D1A57" w:rsidRDefault="009D1A57" w:rsidP="002F3CE8">
      <w:pPr>
        <w:jc w:val="center"/>
        <w:rPr>
          <w:sz w:val="28"/>
          <w:szCs w:val="28"/>
          <w:lang w:val="uk-UA"/>
        </w:rPr>
      </w:pPr>
      <w:r w:rsidRPr="009D1A57">
        <w:rPr>
          <w:sz w:val="28"/>
          <w:szCs w:val="28"/>
          <w:lang w:val="uk-UA"/>
        </w:rPr>
        <w:t>(</w:t>
      </w:r>
      <w:proofErr w:type="spellStart"/>
      <w:r w:rsidRPr="009D1A57">
        <w:rPr>
          <w:sz w:val="28"/>
          <w:szCs w:val="28"/>
          <w:lang w:val="uk-UA"/>
        </w:rPr>
        <w:t>силабус</w:t>
      </w:r>
      <w:proofErr w:type="spellEnd"/>
      <w:r w:rsidRPr="009D1A57">
        <w:rPr>
          <w:sz w:val="28"/>
          <w:szCs w:val="28"/>
          <w:lang w:val="uk-UA"/>
        </w:rPr>
        <w:t xml:space="preserve"> навчальної дисципліни)</w:t>
      </w:r>
    </w:p>
    <w:p w:rsidR="009D1A57" w:rsidRPr="009D1A57" w:rsidRDefault="009D1A57" w:rsidP="002F3CE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87"/>
        <w:gridCol w:w="2557"/>
        <w:gridCol w:w="992"/>
        <w:gridCol w:w="992"/>
        <w:gridCol w:w="1276"/>
        <w:gridCol w:w="981"/>
        <w:gridCol w:w="11"/>
        <w:gridCol w:w="25"/>
      </w:tblGrid>
      <w:tr w:rsidR="002F3CE8" w:rsidRPr="009D1A57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9D1A57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2F3CE8" w:rsidRPr="009D1A57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9D1A57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9D1A57" w:rsidRDefault="00890975" w:rsidP="00F232F6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9D1A57">
              <w:rPr>
                <w:sz w:val="28"/>
                <w:szCs w:val="28"/>
                <w:lang w:val="uk-UA"/>
              </w:rPr>
              <w:t>Міжнародне</w:t>
            </w:r>
            <w:r w:rsidR="00717F40" w:rsidRPr="009D1A57">
              <w:rPr>
                <w:sz w:val="28"/>
                <w:szCs w:val="28"/>
                <w:lang w:val="uk-UA"/>
              </w:rPr>
              <w:t xml:space="preserve"> кримінальне право</w:t>
            </w:r>
            <w:bookmarkEnd w:id="0"/>
          </w:p>
        </w:tc>
      </w:tr>
      <w:tr w:rsidR="002F3CE8" w:rsidRPr="009D1A57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9D1A57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9D1A57" w:rsidRDefault="007D31DD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>Соловйова Аліна Миколаївна</w:t>
            </w:r>
            <w:r w:rsidR="002F3CE8" w:rsidRPr="009D1A57">
              <w:rPr>
                <w:sz w:val="28"/>
                <w:szCs w:val="28"/>
                <w:lang w:val="uk-UA"/>
              </w:rPr>
              <w:t xml:space="preserve">, </w:t>
            </w:r>
            <w:r w:rsidRPr="009D1A57">
              <w:rPr>
                <w:sz w:val="28"/>
                <w:szCs w:val="28"/>
                <w:lang w:val="uk-UA"/>
              </w:rPr>
              <w:t>професор</w:t>
            </w:r>
            <w:r w:rsidR="00A0711D" w:rsidRPr="009D1A57">
              <w:rPr>
                <w:sz w:val="28"/>
                <w:szCs w:val="28"/>
                <w:lang w:val="uk-UA"/>
              </w:rPr>
              <w:t xml:space="preserve"> </w:t>
            </w:r>
            <w:r w:rsidR="002F3CE8" w:rsidRPr="009D1A57">
              <w:rPr>
                <w:sz w:val="28"/>
                <w:szCs w:val="28"/>
                <w:lang w:val="uk-UA"/>
              </w:rPr>
              <w:t xml:space="preserve">кафедри </w:t>
            </w:r>
            <w:r w:rsidRPr="009D1A57">
              <w:rPr>
                <w:sz w:val="28"/>
                <w:szCs w:val="28"/>
                <w:lang w:val="uk-UA"/>
              </w:rPr>
              <w:t xml:space="preserve">прав людини, міжнародного та європейського права, </w:t>
            </w:r>
            <w:proofErr w:type="spellStart"/>
            <w:r w:rsidRPr="009D1A57">
              <w:rPr>
                <w:sz w:val="28"/>
                <w:szCs w:val="28"/>
                <w:lang w:val="uk-UA"/>
              </w:rPr>
              <w:t>д.ю.н</w:t>
            </w:r>
            <w:proofErr w:type="spellEnd"/>
            <w:r w:rsidRPr="009D1A57">
              <w:rPr>
                <w:sz w:val="28"/>
                <w:szCs w:val="28"/>
                <w:lang w:val="uk-UA"/>
              </w:rPr>
              <w:t>., доцент</w:t>
            </w:r>
          </w:p>
        </w:tc>
      </w:tr>
      <w:tr w:rsidR="002F3CE8" w:rsidRPr="009D1A57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9D1A57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9D1A57" w:rsidRDefault="002F3CE8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>(</w:t>
            </w:r>
            <w:r w:rsidR="00A0711D" w:rsidRPr="009D1A57">
              <w:rPr>
                <w:sz w:val="28"/>
                <w:szCs w:val="28"/>
                <w:lang w:val="uk-UA"/>
              </w:rPr>
              <w:t>044</w:t>
            </w:r>
            <w:r w:rsidRPr="009D1A57">
              <w:rPr>
                <w:sz w:val="28"/>
                <w:szCs w:val="28"/>
                <w:lang w:val="uk-UA"/>
              </w:rPr>
              <w:t xml:space="preserve">) </w:t>
            </w:r>
            <w:r w:rsidR="00A0711D" w:rsidRPr="009D1A57">
              <w:rPr>
                <w:sz w:val="28"/>
                <w:szCs w:val="28"/>
                <w:lang w:val="uk-UA"/>
              </w:rPr>
              <w:t>246 59 66</w:t>
            </w:r>
          </w:p>
        </w:tc>
      </w:tr>
      <w:tr w:rsidR="002F3CE8" w:rsidRPr="009D1A57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9D1A57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9D1A57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9D1A57">
              <w:rPr>
                <w:b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9D1A57" w:rsidRDefault="007D31DD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>Altoryk10@ukr.net</w:t>
            </w:r>
          </w:p>
        </w:tc>
      </w:tr>
      <w:tr w:rsidR="002F3CE8" w:rsidRPr="009D1A57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9D1A57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9D1A57" w:rsidRDefault="002F3CE8" w:rsidP="00E756F0">
            <w:pPr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>3 кредити ЄКТС, 90 год.</w:t>
            </w:r>
          </w:p>
        </w:tc>
      </w:tr>
      <w:tr w:rsidR="00AD46F1" w:rsidRPr="009D1A57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AD46F1" w:rsidRPr="009D1A57" w:rsidRDefault="00AD46F1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 xml:space="preserve">Мова викладання 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AD46F1" w:rsidRPr="009D1A57" w:rsidRDefault="007D31DD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>У</w:t>
            </w:r>
            <w:r w:rsidR="00AD46F1" w:rsidRPr="009D1A57">
              <w:rPr>
                <w:sz w:val="28"/>
                <w:szCs w:val="28"/>
                <w:lang w:val="uk-UA"/>
              </w:rPr>
              <w:t>країнська</w:t>
            </w:r>
            <w:r w:rsidRPr="009D1A57">
              <w:rPr>
                <w:sz w:val="28"/>
                <w:szCs w:val="28"/>
                <w:lang w:val="uk-UA"/>
              </w:rPr>
              <w:t>, англійська</w:t>
            </w:r>
            <w:r w:rsidR="00AD46F1" w:rsidRPr="009D1A57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2F3CE8" w:rsidRPr="009D1A57">
        <w:trPr>
          <w:gridAfter w:val="2"/>
          <w:wAfter w:w="36" w:type="dxa"/>
        </w:trPr>
        <w:tc>
          <w:tcPr>
            <w:tcW w:w="2547" w:type="dxa"/>
            <w:gridSpan w:val="2"/>
            <w:shd w:val="clear" w:color="auto" w:fill="auto"/>
          </w:tcPr>
          <w:p w:rsidR="002F3CE8" w:rsidRPr="009D1A57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9D1A57" w:rsidRDefault="002F3CE8" w:rsidP="00543C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9D1A57">
              <w:rPr>
                <w:sz w:val="28"/>
                <w:szCs w:val="28"/>
                <w:lang w:val="uk-UA"/>
              </w:rPr>
              <w:t>г</w:t>
            </w:r>
            <w:r w:rsidRPr="009D1A57">
              <w:rPr>
                <w:sz w:val="28"/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9D1A57">
              <w:rPr>
                <w:sz w:val="28"/>
                <w:szCs w:val="28"/>
                <w:lang w:val="uk-UA"/>
              </w:rPr>
              <w:t xml:space="preserve">. Очні консультації можливі також в день проведення лекцій/практичних занять. Усі запитання можна надсилати на електронну пошту, що вказана в </w:t>
            </w:r>
            <w:proofErr w:type="spellStart"/>
            <w:r w:rsidR="008C7BDF" w:rsidRPr="009D1A57">
              <w:rPr>
                <w:sz w:val="28"/>
                <w:szCs w:val="28"/>
                <w:lang w:val="uk-UA"/>
              </w:rPr>
              <w:t>силабусі</w:t>
            </w:r>
            <w:proofErr w:type="spellEnd"/>
            <w:r w:rsidR="008C7BDF" w:rsidRPr="009D1A57">
              <w:rPr>
                <w:sz w:val="28"/>
                <w:szCs w:val="28"/>
                <w:lang w:val="uk-UA"/>
              </w:rPr>
              <w:t xml:space="preserve">, зокрема, що стосується погодження планів та змісту індивідуальних науково-дослідних завдань. Відпрацювання проводяться </w:t>
            </w:r>
            <w:r w:rsidR="000242F3" w:rsidRPr="009D1A57">
              <w:rPr>
                <w:sz w:val="28"/>
                <w:szCs w:val="28"/>
                <w:lang w:val="uk-UA"/>
              </w:rPr>
              <w:t>що</w:t>
            </w:r>
            <w:r w:rsidR="008C7BDF" w:rsidRPr="009D1A57">
              <w:rPr>
                <w:sz w:val="28"/>
                <w:szCs w:val="28"/>
                <w:lang w:val="uk-UA"/>
              </w:rPr>
              <w:t>четверга.</w:t>
            </w:r>
          </w:p>
        </w:tc>
      </w:tr>
      <w:tr w:rsidR="002F3CE8" w:rsidRPr="009D1A57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9D1A57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2. Анотація до навчальної дисципліни</w:t>
            </w:r>
          </w:p>
        </w:tc>
      </w:tr>
      <w:tr w:rsidR="002F3CE8" w:rsidRPr="009D1A57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FD051E" w:rsidRPr="009D1A57" w:rsidRDefault="002F3CE8" w:rsidP="00952A20">
            <w:pPr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i/>
                <w:sz w:val="28"/>
                <w:szCs w:val="28"/>
                <w:lang w:val="uk-UA"/>
              </w:rPr>
              <w:t>Предметом</w:t>
            </w:r>
            <w:r w:rsidRPr="009D1A57">
              <w:rPr>
                <w:sz w:val="28"/>
                <w:szCs w:val="28"/>
                <w:lang w:val="uk-UA"/>
              </w:rPr>
              <w:t xml:space="preserve"> </w:t>
            </w:r>
            <w:r w:rsidR="00A07CD2" w:rsidRPr="009D1A57">
              <w:rPr>
                <w:sz w:val="28"/>
                <w:szCs w:val="28"/>
                <w:lang w:val="uk-UA"/>
              </w:rPr>
              <w:t xml:space="preserve">курсу </w:t>
            </w:r>
            <w:r w:rsidR="00FD051E" w:rsidRPr="009D1A57">
              <w:rPr>
                <w:color w:val="000000"/>
                <w:spacing w:val="-5"/>
                <w:sz w:val="28"/>
                <w:szCs w:val="28"/>
                <w:lang w:val="uk-UA"/>
              </w:rPr>
              <w:t>«</w:t>
            </w:r>
            <w:r w:rsidR="00890975" w:rsidRPr="009D1A57">
              <w:rPr>
                <w:color w:val="000000"/>
                <w:spacing w:val="-5"/>
                <w:sz w:val="28"/>
                <w:szCs w:val="28"/>
                <w:lang w:val="uk-UA"/>
              </w:rPr>
              <w:t>Міжнародне</w:t>
            </w:r>
            <w:r w:rsidR="00FD051E" w:rsidRPr="009D1A57">
              <w:rPr>
                <w:color w:val="000000"/>
                <w:spacing w:val="-5"/>
                <w:sz w:val="28"/>
                <w:szCs w:val="28"/>
                <w:lang w:val="uk-UA"/>
              </w:rPr>
              <w:t xml:space="preserve"> кримінальне право</w:t>
            </w:r>
            <w:r w:rsidR="00FD051E" w:rsidRPr="009D1A57">
              <w:rPr>
                <w:sz w:val="28"/>
                <w:szCs w:val="28"/>
                <w:lang w:val="uk-UA"/>
              </w:rPr>
              <w:t>»</w:t>
            </w:r>
            <w:r w:rsidR="00952A20" w:rsidRPr="009D1A57">
              <w:rPr>
                <w:sz w:val="28"/>
                <w:szCs w:val="28"/>
                <w:lang w:val="uk-UA"/>
              </w:rPr>
              <w:t xml:space="preserve"> є</w:t>
            </w:r>
            <w:r w:rsidR="00890975" w:rsidRPr="009D1A57">
              <w:rPr>
                <w:sz w:val="28"/>
                <w:szCs w:val="28"/>
                <w:lang w:val="uk-UA"/>
              </w:rPr>
              <w:t xml:space="preserve"> особливості здійснення міжнародної кримінально-правової юрисдикції</w:t>
            </w:r>
            <w:r w:rsidR="00952A20" w:rsidRPr="009D1A57">
              <w:rPr>
                <w:sz w:val="28"/>
                <w:szCs w:val="28"/>
                <w:lang w:val="uk-UA"/>
              </w:rPr>
              <w:t>. Основна увага приділяється</w:t>
            </w:r>
            <w:r w:rsidR="00FD051E" w:rsidRPr="009D1A57">
              <w:rPr>
                <w:sz w:val="28"/>
                <w:szCs w:val="28"/>
                <w:lang w:val="uk-UA"/>
              </w:rPr>
              <w:t xml:space="preserve"> є вивченн</w:t>
            </w:r>
            <w:r w:rsidR="00952A20" w:rsidRPr="009D1A57">
              <w:rPr>
                <w:sz w:val="28"/>
                <w:szCs w:val="28"/>
                <w:lang w:val="uk-UA"/>
              </w:rPr>
              <w:t>ю</w:t>
            </w:r>
            <w:r w:rsidR="00FD051E" w:rsidRPr="009D1A57">
              <w:rPr>
                <w:sz w:val="28"/>
                <w:szCs w:val="28"/>
                <w:lang w:val="uk-UA"/>
              </w:rPr>
              <w:t xml:space="preserve"> основних інститутів </w:t>
            </w:r>
            <w:r w:rsidR="00890975" w:rsidRPr="009D1A57">
              <w:rPr>
                <w:sz w:val="28"/>
                <w:szCs w:val="28"/>
                <w:lang w:val="uk-UA"/>
              </w:rPr>
              <w:t>міжнародного кримінального права</w:t>
            </w:r>
            <w:r w:rsidR="00FD051E" w:rsidRPr="009D1A57">
              <w:rPr>
                <w:sz w:val="28"/>
                <w:szCs w:val="28"/>
                <w:lang w:val="uk-UA"/>
              </w:rPr>
              <w:t xml:space="preserve">, принципів їх побудови, а також практики застосування законодавчих приписів та положень </w:t>
            </w:r>
            <w:r w:rsidR="00890975" w:rsidRPr="009D1A57">
              <w:rPr>
                <w:sz w:val="28"/>
                <w:szCs w:val="28"/>
                <w:lang w:val="uk-UA"/>
              </w:rPr>
              <w:t xml:space="preserve">з метою кваліфікації міжнародних злочинів, боротьби з </w:t>
            </w:r>
            <w:r w:rsidR="003C0A4F" w:rsidRPr="009D1A57">
              <w:rPr>
                <w:sz w:val="28"/>
                <w:szCs w:val="28"/>
                <w:lang w:val="uk-UA"/>
              </w:rPr>
              <w:t>міжнародною</w:t>
            </w:r>
            <w:r w:rsidR="00890975" w:rsidRPr="009D1A57">
              <w:rPr>
                <w:sz w:val="28"/>
                <w:szCs w:val="28"/>
                <w:lang w:val="uk-UA"/>
              </w:rPr>
              <w:t xml:space="preserve"> злочинністю та попередження вчинення міжнародних злочинів</w:t>
            </w:r>
            <w:r w:rsidR="009D1A57" w:rsidRPr="009D1A57">
              <w:rPr>
                <w:sz w:val="28"/>
                <w:szCs w:val="28"/>
                <w:lang w:val="uk-UA"/>
              </w:rPr>
              <w:t>.</w:t>
            </w:r>
          </w:p>
          <w:p w:rsidR="002F3CE8" w:rsidRPr="009D1A57" w:rsidRDefault="002F3CE8" w:rsidP="00E756F0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Програма навчальної дисципліни складається з </w:t>
            </w:r>
            <w:r w:rsidR="006A1DBE" w:rsidRPr="009D1A57">
              <w:rPr>
                <w:sz w:val="28"/>
                <w:szCs w:val="28"/>
                <w:lang w:val="uk-UA"/>
              </w:rPr>
              <w:t>двох</w:t>
            </w:r>
            <w:r w:rsidRPr="009D1A57">
              <w:rPr>
                <w:sz w:val="28"/>
                <w:szCs w:val="28"/>
                <w:lang w:val="uk-UA"/>
              </w:rPr>
              <w:t xml:space="preserve"> </w:t>
            </w:r>
            <w:r w:rsidRPr="009D1A57">
              <w:rPr>
                <w:b/>
                <w:sz w:val="28"/>
                <w:szCs w:val="28"/>
                <w:lang w:val="uk-UA"/>
              </w:rPr>
              <w:t>змістових модулів</w:t>
            </w:r>
            <w:r w:rsidRPr="009D1A57">
              <w:rPr>
                <w:sz w:val="28"/>
                <w:szCs w:val="28"/>
                <w:lang w:val="uk-UA"/>
              </w:rPr>
              <w:t>:</w:t>
            </w:r>
          </w:p>
          <w:p w:rsidR="002F3CE8" w:rsidRPr="009D1A57" w:rsidRDefault="002F3CE8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1. </w:t>
            </w:r>
            <w:r w:rsidR="006A1DBE" w:rsidRPr="009D1A57">
              <w:rPr>
                <w:sz w:val="28"/>
                <w:szCs w:val="28"/>
                <w:lang w:val="uk-UA"/>
              </w:rPr>
              <w:t xml:space="preserve">Особливості Загальної частини </w:t>
            </w:r>
            <w:r w:rsidR="00890975" w:rsidRPr="009D1A57">
              <w:rPr>
                <w:sz w:val="28"/>
                <w:szCs w:val="28"/>
                <w:lang w:val="uk-UA"/>
              </w:rPr>
              <w:t xml:space="preserve">міжнародного </w:t>
            </w:r>
            <w:r w:rsidR="006A1DBE" w:rsidRPr="009D1A57">
              <w:rPr>
                <w:sz w:val="28"/>
                <w:szCs w:val="28"/>
                <w:lang w:val="uk-UA"/>
              </w:rPr>
              <w:t>кримінального права</w:t>
            </w:r>
            <w:r w:rsidRPr="009D1A57">
              <w:rPr>
                <w:sz w:val="28"/>
                <w:szCs w:val="28"/>
                <w:lang w:val="uk-UA"/>
              </w:rPr>
              <w:t>.</w:t>
            </w:r>
          </w:p>
          <w:p w:rsidR="006A1DBE" w:rsidRPr="009D1A57" w:rsidRDefault="002F3CE8" w:rsidP="006A1DBE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2. </w:t>
            </w:r>
            <w:r w:rsidR="006A1DBE" w:rsidRPr="009D1A57">
              <w:rPr>
                <w:sz w:val="28"/>
                <w:szCs w:val="28"/>
                <w:lang w:val="uk-UA"/>
              </w:rPr>
              <w:t xml:space="preserve">Особлива частина </w:t>
            </w:r>
            <w:r w:rsidR="00890975" w:rsidRPr="009D1A57">
              <w:rPr>
                <w:sz w:val="28"/>
                <w:szCs w:val="28"/>
                <w:lang w:val="uk-UA"/>
              </w:rPr>
              <w:t xml:space="preserve">міжнародного </w:t>
            </w:r>
            <w:r w:rsidR="006A1DBE" w:rsidRPr="009D1A57">
              <w:rPr>
                <w:sz w:val="28"/>
                <w:szCs w:val="28"/>
                <w:lang w:val="uk-UA"/>
              </w:rPr>
              <w:t>кримінального права.</w:t>
            </w:r>
          </w:p>
          <w:p w:rsidR="001F4FCD" w:rsidRPr="009D1A57" w:rsidRDefault="00F01EE7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>Навчальна дисципліна «</w:t>
            </w:r>
            <w:r w:rsidR="00890975" w:rsidRPr="009D1A57">
              <w:rPr>
                <w:sz w:val="28"/>
                <w:szCs w:val="28"/>
                <w:lang w:val="uk-UA"/>
              </w:rPr>
              <w:t>Міжнародне</w:t>
            </w:r>
            <w:r w:rsidRPr="009D1A57">
              <w:rPr>
                <w:sz w:val="28"/>
                <w:szCs w:val="28"/>
                <w:lang w:val="uk-UA"/>
              </w:rPr>
              <w:t xml:space="preserve"> кримінальне право» заклада</w:t>
            </w:r>
            <w:r w:rsidR="00890975" w:rsidRPr="009D1A57">
              <w:rPr>
                <w:sz w:val="28"/>
                <w:szCs w:val="28"/>
                <w:lang w:val="uk-UA"/>
              </w:rPr>
              <w:t>є</w:t>
            </w:r>
            <w:r w:rsidRPr="009D1A57">
              <w:rPr>
                <w:sz w:val="28"/>
                <w:szCs w:val="28"/>
                <w:lang w:val="uk-UA"/>
              </w:rPr>
              <w:t xml:space="preserve"> основн</w:t>
            </w:r>
            <w:r w:rsidR="00890975" w:rsidRPr="009D1A57">
              <w:rPr>
                <w:sz w:val="28"/>
                <w:szCs w:val="28"/>
                <w:lang w:val="uk-UA"/>
              </w:rPr>
              <w:t>і</w:t>
            </w:r>
            <w:r w:rsidRPr="009D1A57">
              <w:rPr>
                <w:sz w:val="28"/>
                <w:szCs w:val="28"/>
                <w:lang w:val="uk-UA"/>
              </w:rPr>
              <w:t xml:space="preserve"> знання щодо кримінально-правових інститутів</w:t>
            </w:r>
            <w:r w:rsidR="00A42BE2" w:rsidRPr="009D1A57">
              <w:rPr>
                <w:sz w:val="28"/>
                <w:szCs w:val="28"/>
                <w:lang w:val="uk-UA"/>
              </w:rPr>
              <w:t>, поняття та видів міжнародного злочину, проблем кваліфікації міжнародних злочинів</w:t>
            </w:r>
            <w:r w:rsidRPr="009D1A57">
              <w:rPr>
                <w:sz w:val="28"/>
                <w:szCs w:val="28"/>
                <w:lang w:val="uk-UA"/>
              </w:rPr>
              <w:t>.</w:t>
            </w:r>
          </w:p>
          <w:p w:rsidR="00F01EE7" w:rsidRPr="009D1A57" w:rsidRDefault="002F3CE8" w:rsidP="00F01EE7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i/>
                <w:sz w:val="28"/>
                <w:szCs w:val="28"/>
                <w:lang w:val="uk-UA"/>
              </w:rPr>
              <w:t>Основними джерелами</w:t>
            </w:r>
            <w:r w:rsidRPr="009D1A57">
              <w:rPr>
                <w:sz w:val="28"/>
                <w:szCs w:val="28"/>
                <w:lang w:val="uk-UA"/>
              </w:rPr>
              <w:t xml:space="preserve"> навчальної дисципліни виступають </w:t>
            </w:r>
            <w:r w:rsidR="00F01EE7" w:rsidRPr="009D1A57">
              <w:rPr>
                <w:sz w:val="28"/>
                <w:szCs w:val="28"/>
                <w:lang w:val="uk-UA"/>
              </w:rPr>
              <w:t>кримінальні кодекси зарубіжних держав, закони, судові прецеденти</w:t>
            </w:r>
            <w:r w:rsidR="00A42BE2" w:rsidRPr="009D1A57">
              <w:rPr>
                <w:sz w:val="28"/>
                <w:szCs w:val="28"/>
                <w:lang w:val="uk-UA"/>
              </w:rPr>
              <w:t>, Міжнародні договори, Конвенції</w:t>
            </w:r>
            <w:r w:rsidR="00F01EE7" w:rsidRPr="009D1A57">
              <w:rPr>
                <w:sz w:val="28"/>
                <w:szCs w:val="28"/>
                <w:lang w:val="uk-UA"/>
              </w:rPr>
              <w:t>.</w:t>
            </w:r>
          </w:p>
          <w:p w:rsidR="00F01EE7" w:rsidRPr="009D1A57" w:rsidRDefault="00F01EE7" w:rsidP="00F01EE7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lastRenderedPageBreak/>
              <w:t xml:space="preserve">Сучасний фахівець-юрист повинен мати </w:t>
            </w:r>
            <w:r w:rsidRPr="009D1A57">
              <w:rPr>
                <w:rStyle w:val="variantcorrected"/>
                <w:sz w:val="28"/>
                <w:szCs w:val="28"/>
                <w:lang w:val="uk-UA"/>
              </w:rPr>
              <w:t>уявлення</w:t>
            </w:r>
            <w:r w:rsidRPr="009D1A57">
              <w:rPr>
                <w:sz w:val="28"/>
                <w:szCs w:val="28"/>
                <w:lang w:val="uk-UA"/>
              </w:rPr>
              <w:t xml:space="preserve"> про особливості формування й основні тенденції розвитку </w:t>
            </w:r>
            <w:r w:rsidR="00A42BE2" w:rsidRPr="009D1A57">
              <w:rPr>
                <w:sz w:val="28"/>
                <w:szCs w:val="28"/>
                <w:lang w:val="uk-UA"/>
              </w:rPr>
              <w:t xml:space="preserve">міжнародного </w:t>
            </w:r>
            <w:r w:rsidRPr="009D1A57">
              <w:rPr>
                <w:sz w:val="28"/>
                <w:szCs w:val="28"/>
                <w:lang w:val="uk-UA"/>
              </w:rPr>
              <w:t>кримінального права.</w:t>
            </w:r>
          </w:p>
          <w:p w:rsidR="00FF515F" w:rsidRPr="009D1A57" w:rsidRDefault="00FF515F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F3CE8" w:rsidRPr="009D1A57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9D1A57" w:rsidRDefault="00A07CD2" w:rsidP="00E756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lastRenderedPageBreak/>
              <w:t>3</w:t>
            </w:r>
            <w:r w:rsidR="002F3CE8" w:rsidRPr="009D1A57">
              <w:rPr>
                <w:b/>
                <w:sz w:val="28"/>
                <w:szCs w:val="28"/>
                <w:lang w:val="uk-UA"/>
              </w:rPr>
              <w:t>. Результати навчання (компетентності)</w:t>
            </w:r>
          </w:p>
        </w:tc>
      </w:tr>
      <w:tr w:rsidR="002F3CE8" w:rsidRPr="009D1A57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602B73" w:rsidRPr="009D1A57" w:rsidRDefault="002A68A0" w:rsidP="00A42BE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57">
              <w:rPr>
                <w:rFonts w:ascii="Times New Roman" w:hAnsi="Times New Roman"/>
                <w:sz w:val="28"/>
                <w:szCs w:val="28"/>
              </w:rPr>
              <w:t xml:space="preserve">Демонструвати вміння вільно оперувати юридичними поняттями </w:t>
            </w:r>
            <w:r w:rsidR="00A42BE2" w:rsidRPr="009D1A57">
              <w:rPr>
                <w:rFonts w:ascii="Times New Roman" w:hAnsi="Times New Roman"/>
                <w:sz w:val="28"/>
                <w:szCs w:val="28"/>
              </w:rPr>
              <w:t>міжнародного</w:t>
            </w:r>
            <w:r w:rsidR="00602B73" w:rsidRPr="009D1A57">
              <w:rPr>
                <w:rFonts w:ascii="Times New Roman" w:hAnsi="Times New Roman"/>
                <w:sz w:val="28"/>
                <w:szCs w:val="28"/>
              </w:rPr>
              <w:t xml:space="preserve"> кримінального права </w:t>
            </w:r>
          </w:p>
          <w:p w:rsidR="00602B73" w:rsidRPr="009D1A57" w:rsidRDefault="002A68A0" w:rsidP="00A42BE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57">
              <w:rPr>
                <w:rFonts w:ascii="Times New Roman" w:hAnsi="Times New Roman"/>
                <w:sz w:val="28"/>
                <w:szCs w:val="28"/>
              </w:rPr>
              <w:t xml:space="preserve">Проводити збір і інтегрований аналіз матеріалів з різних джерел </w:t>
            </w:r>
            <w:r w:rsidR="00A42BE2" w:rsidRPr="009D1A57">
              <w:rPr>
                <w:rFonts w:ascii="Times New Roman" w:hAnsi="Times New Roman"/>
                <w:sz w:val="28"/>
                <w:szCs w:val="28"/>
              </w:rPr>
              <w:t xml:space="preserve">міжнародного </w:t>
            </w:r>
            <w:r w:rsidR="00602B73" w:rsidRPr="009D1A57">
              <w:rPr>
                <w:rFonts w:ascii="Times New Roman" w:hAnsi="Times New Roman"/>
                <w:sz w:val="28"/>
                <w:szCs w:val="28"/>
              </w:rPr>
              <w:t xml:space="preserve">кримінального права </w:t>
            </w:r>
          </w:p>
          <w:p w:rsidR="002A68A0" w:rsidRPr="009D1A57" w:rsidRDefault="002A68A0" w:rsidP="00A42BE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57">
              <w:rPr>
                <w:rFonts w:ascii="Times New Roman" w:hAnsi="Times New Roman"/>
                <w:sz w:val="28"/>
                <w:szCs w:val="28"/>
              </w:rPr>
              <w:t xml:space="preserve">Вміння аналізувати </w:t>
            </w:r>
            <w:r w:rsidR="00602B73" w:rsidRPr="009D1A57">
              <w:rPr>
                <w:rFonts w:ascii="Times New Roman" w:hAnsi="Times New Roman"/>
                <w:sz w:val="28"/>
                <w:szCs w:val="28"/>
              </w:rPr>
              <w:t xml:space="preserve">юридичні конструкції </w:t>
            </w:r>
            <w:r w:rsidR="00A42BE2" w:rsidRPr="009D1A57">
              <w:rPr>
                <w:rFonts w:ascii="Times New Roman" w:hAnsi="Times New Roman"/>
                <w:sz w:val="28"/>
                <w:szCs w:val="28"/>
              </w:rPr>
              <w:t>міжнародних злочинів</w:t>
            </w:r>
            <w:r w:rsidRPr="009D1A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68A0" w:rsidRPr="009D1A57" w:rsidRDefault="00A42BE2" w:rsidP="00A42BE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57">
              <w:rPr>
                <w:rFonts w:ascii="Times New Roman" w:hAnsi="Times New Roman"/>
                <w:sz w:val="28"/>
                <w:szCs w:val="28"/>
              </w:rPr>
              <w:t>Давати правильну кримінально-правову кваліфікацію міжнародних злочинів</w:t>
            </w:r>
            <w:r w:rsidR="002A68A0" w:rsidRPr="009D1A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68A0" w:rsidRPr="009D1A57" w:rsidRDefault="002A68A0" w:rsidP="00A42BE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57">
              <w:rPr>
                <w:rFonts w:ascii="Times New Roman" w:hAnsi="Times New Roman"/>
                <w:sz w:val="28"/>
                <w:szCs w:val="28"/>
              </w:rPr>
              <w:t xml:space="preserve">Демонструвати знання і навички з основних проблемних питань </w:t>
            </w:r>
            <w:r w:rsidR="00547FBC" w:rsidRPr="009D1A57">
              <w:rPr>
                <w:rFonts w:ascii="Times New Roman" w:hAnsi="Times New Roman"/>
                <w:sz w:val="28"/>
                <w:szCs w:val="28"/>
              </w:rPr>
              <w:t xml:space="preserve">кваліфікації </w:t>
            </w:r>
            <w:r w:rsidR="00A42BE2" w:rsidRPr="009D1A57">
              <w:rPr>
                <w:rFonts w:ascii="Times New Roman" w:hAnsi="Times New Roman"/>
                <w:sz w:val="28"/>
                <w:szCs w:val="28"/>
              </w:rPr>
              <w:t>міжнародних злочинів</w:t>
            </w:r>
            <w:r w:rsidRPr="009D1A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68A0" w:rsidRPr="009D1A57" w:rsidRDefault="002A68A0" w:rsidP="00A42BE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57">
              <w:rPr>
                <w:rFonts w:ascii="Times New Roman" w:hAnsi="Times New Roman"/>
                <w:sz w:val="28"/>
                <w:szCs w:val="28"/>
              </w:rPr>
              <w:t xml:space="preserve">Вміння визначати зміст та юридичну природу основних інститутів </w:t>
            </w:r>
            <w:r w:rsidR="00A42BE2" w:rsidRPr="009D1A57">
              <w:rPr>
                <w:rFonts w:ascii="Times New Roman" w:hAnsi="Times New Roman"/>
                <w:sz w:val="28"/>
                <w:szCs w:val="28"/>
              </w:rPr>
              <w:t xml:space="preserve">міжнародного </w:t>
            </w:r>
            <w:r w:rsidR="00547FBC" w:rsidRPr="009D1A57">
              <w:rPr>
                <w:rFonts w:ascii="Times New Roman" w:hAnsi="Times New Roman"/>
                <w:sz w:val="28"/>
                <w:szCs w:val="28"/>
              </w:rPr>
              <w:t>кримінального</w:t>
            </w:r>
            <w:r w:rsidRPr="009D1A57">
              <w:rPr>
                <w:rFonts w:ascii="Times New Roman" w:hAnsi="Times New Roman"/>
                <w:sz w:val="28"/>
                <w:szCs w:val="28"/>
              </w:rPr>
              <w:t xml:space="preserve"> права.</w:t>
            </w:r>
          </w:p>
          <w:p w:rsidR="002A68A0" w:rsidRPr="009D1A57" w:rsidRDefault="002A68A0" w:rsidP="00A42BE2">
            <w:pPr>
              <w:pStyle w:val="a7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A57">
              <w:rPr>
                <w:rFonts w:ascii="Times New Roman" w:hAnsi="Times New Roman"/>
                <w:sz w:val="28"/>
                <w:szCs w:val="28"/>
              </w:rPr>
              <w:t xml:space="preserve">Демонструвати вміння визначення межі можливого використання набутих знань із </w:t>
            </w:r>
            <w:r w:rsidR="00A42BE2" w:rsidRPr="009D1A57">
              <w:rPr>
                <w:rFonts w:ascii="Times New Roman" w:hAnsi="Times New Roman"/>
                <w:sz w:val="28"/>
                <w:szCs w:val="28"/>
              </w:rPr>
              <w:t>міжнародного</w:t>
            </w:r>
            <w:r w:rsidR="00547FBC" w:rsidRPr="009D1A57">
              <w:rPr>
                <w:rFonts w:ascii="Times New Roman" w:hAnsi="Times New Roman"/>
                <w:sz w:val="28"/>
                <w:szCs w:val="28"/>
              </w:rPr>
              <w:t xml:space="preserve"> кримінального права</w:t>
            </w:r>
            <w:r w:rsidRPr="009D1A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D5CF5" w:rsidRPr="009D1A57" w:rsidRDefault="003D5CF5" w:rsidP="003D5CF5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CF5" w:rsidRPr="009D1A57" w:rsidRDefault="003D5CF5" w:rsidP="003D5CF5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ПРОГРАМНІ РЕЗУЛЬТАТИ НАВЧАННЯ:</w:t>
            </w:r>
          </w:p>
          <w:p w:rsidR="003D5CF5" w:rsidRPr="009D1A57" w:rsidRDefault="003D5CF5" w:rsidP="003D5CF5">
            <w:pPr>
              <w:spacing w:after="160" w:line="259" w:lineRule="auto"/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ПРН-1: </w:t>
            </w:r>
            <w:r w:rsidRPr="009D1A57">
              <w:rPr>
                <w:sz w:val="28"/>
                <w:szCs w:val="28"/>
                <w:lang w:val="uk-UA" w:eastAsia="en-US"/>
              </w:rPr>
              <w:t xml:space="preserve">Мислити </w:t>
            </w:r>
            <w:proofErr w:type="spellStart"/>
            <w:r w:rsidRPr="009D1A57">
              <w:rPr>
                <w:sz w:val="28"/>
                <w:szCs w:val="28"/>
                <w:lang w:val="uk-UA" w:eastAsia="en-US"/>
              </w:rPr>
              <w:t>абстрактно</w:t>
            </w:r>
            <w:proofErr w:type="spellEnd"/>
            <w:r w:rsidRPr="009D1A57">
              <w:rPr>
                <w:sz w:val="28"/>
                <w:szCs w:val="28"/>
                <w:lang w:val="uk-UA" w:eastAsia="en-US"/>
              </w:rPr>
              <w:t xml:space="preserve"> й аналітично, синтезувати загальні знання насамперед із міжнародного кримінального права для досягнення цілей професійної діяльності, швидко розуміти професійні завдання, оцінювати їхню складність.</w:t>
            </w:r>
          </w:p>
          <w:p w:rsidR="003D5CF5" w:rsidRPr="009D1A57" w:rsidRDefault="003D5CF5" w:rsidP="003D5CF5">
            <w:pPr>
              <w:spacing w:after="160" w:line="259" w:lineRule="auto"/>
              <w:ind w:firstLine="708"/>
              <w:jc w:val="both"/>
              <w:rPr>
                <w:sz w:val="28"/>
                <w:szCs w:val="28"/>
                <w:lang w:val="uk-UA" w:eastAsia="en-US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ПРН-4: </w:t>
            </w:r>
            <w:r w:rsidRPr="009D1A57">
              <w:rPr>
                <w:sz w:val="28"/>
                <w:szCs w:val="28"/>
                <w:lang w:val="uk-UA" w:eastAsia="en-US"/>
              </w:rPr>
              <w:t>Використовувати різні джерела безпосередньої й опосередкованої інформації для з’ясування потрібних обставин і фактів, застосовувати одержані знання й уміння з міжнародного кримінального права при вирішенні практичних завдань.</w:t>
            </w:r>
          </w:p>
          <w:p w:rsidR="003D5CF5" w:rsidRPr="009D1A57" w:rsidRDefault="003D5CF5" w:rsidP="003D5CF5">
            <w:pPr>
              <w:spacing w:line="259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ПРН-11: </w:t>
            </w:r>
            <w:r w:rsidRPr="009D1A57">
              <w:rPr>
                <w:sz w:val="28"/>
                <w:szCs w:val="28"/>
                <w:lang w:val="uk-UA" w:eastAsia="en-US"/>
              </w:rPr>
              <w:t>Надавати юридичні висновки й консультації, формулювати юридичну позицію в інтересах клієнта.</w:t>
            </w:r>
          </w:p>
          <w:p w:rsidR="003D5CF5" w:rsidRPr="009D1A57" w:rsidRDefault="003D5CF5" w:rsidP="003D5CF5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CE8" w:rsidRPr="009D1A57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9D1A57" w:rsidRDefault="00A961F4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4</w:t>
            </w:r>
            <w:r w:rsidR="002F3CE8" w:rsidRPr="009D1A57">
              <w:rPr>
                <w:b/>
                <w:sz w:val="28"/>
                <w:szCs w:val="28"/>
                <w:lang w:val="uk-UA"/>
              </w:rPr>
              <w:t xml:space="preserve">. Організація навчання </w:t>
            </w:r>
          </w:p>
        </w:tc>
      </w:tr>
      <w:tr w:rsidR="002F3CE8" w:rsidRPr="009D1A57">
        <w:trPr>
          <w:gridAfter w:val="2"/>
          <w:wAfter w:w="36" w:type="dxa"/>
        </w:trPr>
        <w:tc>
          <w:tcPr>
            <w:tcW w:w="9345" w:type="dxa"/>
            <w:gridSpan w:val="7"/>
            <w:shd w:val="clear" w:color="auto" w:fill="auto"/>
          </w:tcPr>
          <w:p w:rsidR="002F3CE8" w:rsidRPr="009D1A57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>Тематика навчальної дисципліни</w:t>
            </w:r>
          </w:p>
        </w:tc>
      </w:tr>
      <w:tr w:rsidR="00A961F4" w:rsidRPr="009D1A5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9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 w:val="restart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961F4" w:rsidRPr="009D1A5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14"/>
        </w:trPr>
        <w:tc>
          <w:tcPr>
            <w:tcW w:w="1560" w:type="dxa"/>
            <w:vMerge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р.</w:t>
            </w:r>
          </w:p>
        </w:tc>
      </w:tr>
      <w:tr w:rsidR="00A961F4" w:rsidRPr="009D1A57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381" w:type="dxa"/>
            <w:gridSpan w:val="9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9D1A5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1560" w:type="dxa"/>
            <w:vMerge w:val="restart"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A961F4" w:rsidP="00543C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 </w:t>
            </w:r>
            <w:r w:rsidR="00A42BE2" w:rsidRPr="009D1A57">
              <w:rPr>
                <w:rFonts w:ascii="Times New Roman" w:hAnsi="Times New Roman" w:cs="Times New Roman"/>
                <w:b/>
                <w:sz w:val="28"/>
                <w:szCs w:val="28"/>
              </w:rPr>
              <w:t>Поняття, мета і предмет міжнародного кримінального права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9D1A5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1560" w:type="dxa"/>
            <w:vMerge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830195" w:rsidP="00543C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</w:t>
            </w:r>
            <w:r w:rsidR="00A42BE2" w:rsidRPr="009D1A57">
              <w:rPr>
                <w:rFonts w:ascii="Times New Roman" w:hAnsi="Times New Roman" w:cs="Times New Roman"/>
                <w:b/>
                <w:sz w:val="28"/>
                <w:szCs w:val="28"/>
              </w:rPr>
              <w:t>Принципи міжнародного кримінального права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9D1A57" w:rsidTr="00543C25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1560" w:type="dxa"/>
            <w:vMerge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830195" w:rsidP="00543C25">
            <w:pPr>
              <w:rPr>
                <w:sz w:val="28"/>
                <w:szCs w:val="28"/>
                <w:lang w:val="uk-UA"/>
              </w:rPr>
            </w:pPr>
            <w:r w:rsidRPr="009D1A57">
              <w:rPr>
                <w:bCs/>
                <w:sz w:val="28"/>
                <w:szCs w:val="28"/>
                <w:lang w:val="uk-UA"/>
              </w:rPr>
              <w:t xml:space="preserve">Тема 3. </w:t>
            </w:r>
            <w:r w:rsidR="00A42BE2" w:rsidRPr="009D1A57">
              <w:rPr>
                <w:b/>
                <w:sz w:val="28"/>
                <w:szCs w:val="28"/>
                <w:lang w:val="uk-UA"/>
              </w:rPr>
              <w:t>Міжнародні кримінально-правові норми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9D1A57" w:rsidTr="00543C25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 w:val="restart"/>
            <w:shd w:val="clear" w:color="auto" w:fill="auto"/>
          </w:tcPr>
          <w:p w:rsidR="00A961F4" w:rsidRPr="009D1A57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830195" w:rsidP="00543C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A42BE2" w:rsidRPr="009D1A57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Відповідальність у міжнародному кримінальному праві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9D1A57" w:rsidTr="00543C25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830195" w:rsidP="00543C25">
            <w:pPr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Тема 5. </w:t>
            </w:r>
            <w:r w:rsidR="00A42BE2" w:rsidRPr="009D1A57">
              <w:rPr>
                <w:b/>
                <w:sz w:val="28"/>
                <w:szCs w:val="28"/>
                <w:lang w:val="uk-UA"/>
              </w:rPr>
              <w:t>Покарання у міжнародному кримінальному праві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243C5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61F4" w:rsidRPr="009D1A57" w:rsidTr="00543C25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830195" w:rsidP="00543C25">
            <w:pPr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Тема 6. </w:t>
            </w:r>
            <w:r w:rsidR="00A42BE2" w:rsidRPr="009D1A57">
              <w:rPr>
                <w:b/>
                <w:sz w:val="28"/>
                <w:szCs w:val="28"/>
                <w:lang w:val="uk-UA"/>
              </w:rPr>
              <w:t>Поняття злочину в міжнародному кримінальному праві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1F4" w:rsidRPr="009D1A57" w:rsidTr="00543C25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 w:val="restart"/>
            <w:shd w:val="clear" w:color="auto" w:fill="auto"/>
          </w:tcPr>
          <w:p w:rsidR="00A961F4" w:rsidRPr="009D1A57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830195" w:rsidP="00543C25">
            <w:pPr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Тема 7. </w:t>
            </w:r>
            <w:r w:rsidR="00A42BE2" w:rsidRPr="009D1A57">
              <w:rPr>
                <w:b/>
                <w:sz w:val="28"/>
                <w:szCs w:val="28"/>
                <w:lang w:val="uk-UA"/>
              </w:rPr>
              <w:t>Інститут видачі в міжнародному кримінальному праві</w:t>
            </w:r>
            <w:r w:rsidR="00A961F4" w:rsidRPr="009D1A5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61F4" w:rsidRPr="009D1A57" w:rsidTr="00543C25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830195" w:rsidP="00543C25">
            <w:pPr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Тема 8. </w:t>
            </w:r>
            <w:r w:rsidR="00A42BE2" w:rsidRPr="009D1A57">
              <w:rPr>
                <w:b/>
                <w:sz w:val="28"/>
                <w:szCs w:val="28"/>
                <w:lang w:val="uk-UA"/>
              </w:rPr>
              <w:t>Кваліфікація міжнародних злочинів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1F4" w:rsidRPr="009D1A57" w:rsidTr="00543C25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460"/>
        </w:trPr>
        <w:tc>
          <w:tcPr>
            <w:tcW w:w="1560" w:type="dxa"/>
            <w:shd w:val="clear" w:color="auto" w:fill="auto"/>
          </w:tcPr>
          <w:p w:rsidR="00A961F4" w:rsidRPr="009D1A57" w:rsidRDefault="00A961F4" w:rsidP="00243C54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830195" w:rsidP="00543C25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="00A42BE2" w:rsidRPr="009D1A57">
              <w:rPr>
                <w:rFonts w:ascii="Times New Roman" w:hAnsi="Times New Roman" w:cs="Times New Roman"/>
                <w:b/>
                <w:sz w:val="28"/>
                <w:szCs w:val="28"/>
              </w:rPr>
              <w:t>Злочини міжнародного характеру</w:t>
            </w:r>
            <w:r w:rsidR="00A42BE2"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9D1A57" w:rsidTr="00543C25">
        <w:tblPrEx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1560" w:type="dxa"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830195" w:rsidP="00543C25">
            <w:pPr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 xml:space="preserve">Тема 10. </w:t>
            </w:r>
            <w:r w:rsidR="00A42BE2" w:rsidRPr="009D1A57">
              <w:rPr>
                <w:b/>
                <w:sz w:val="28"/>
                <w:szCs w:val="28"/>
                <w:lang w:val="uk-UA"/>
              </w:rPr>
              <w:t>Окремі види злочинів міжнародного характеру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9D1A57" w:rsidRDefault="00830195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1F4" w:rsidRPr="009D1A57">
        <w:tblPrEx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1560" w:type="dxa"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1F4" w:rsidRPr="009D1A5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1A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BB7417" w:rsidRPr="009D1A57" w:rsidRDefault="00BB7417" w:rsidP="00BB7417">
      <w:pPr>
        <w:rPr>
          <w:vanish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7447"/>
      </w:tblGrid>
      <w:tr w:rsidR="002F3CE8" w:rsidRPr="009D1A57">
        <w:tc>
          <w:tcPr>
            <w:tcW w:w="9345" w:type="dxa"/>
            <w:gridSpan w:val="2"/>
            <w:shd w:val="clear" w:color="auto" w:fill="auto"/>
          </w:tcPr>
          <w:p w:rsidR="002F3CE8" w:rsidRPr="009D1A57" w:rsidRDefault="00B35A0A" w:rsidP="004656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1A57">
              <w:rPr>
                <w:b/>
                <w:sz w:val="28"/>
                <w:szCs w:val="28"/>
                <w:lang w:val="uk-UA"/>
              </w:rPr>
              <w:t>5</w:t>
            </w:r>
            <w:r w:rsidR="002F3CE8" w:rsidRPr="009D1A57">
              <w:rPr>
                <w:b/>
                <w:sz w:val="28"/>
                <w:szCs w:val="28"/>
                <w:lang w:val="uk-UA"/>
              </w:rPr>
              <w:t xml:space="preserve">. </w:t>
            </w:r>
            <w:r w:rsidR="002F1792" w:rsidRPr="009D1A57">
              <w:rPr>
                <w:b/>
                <w:sz w:val="28"/>
                <w:szCs w:val="28"/>
                <w:lang w:val="uk-UA"/>
              </w:rPr>
              <w:t>Політика оцінювання</w:t>
            </w:r>
          </w:p>
        </w:tc>
      </w:tr>
      <w:tr w:rsidR="002F3CE8" w:rsidRPr="009D1A57">
        <w:tc>
          <w:tcPr>
            <w:tcW w:w="1898" w:type="dxa"/>
            <w:shd w:val="clear" w:color="auto" w:fill="auto"/>
          </w:tcPr>
          <w:p w:rsidR="002F3CE8" w:rsidRPr="009D1A57" w:rsidRDefault="00500C5D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9D1A5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Загальна система оцінювання курсу</w:t>
            </w:r>
          </w:p>
        </w:tc>
        <w:tc>
          <w:tcPr>
            <w:tcW w:w="7447" w:type="dxa"/>
            <w:shd w:val="clear" w:color="auto" w:fill="auto"/>
          </w:tcPr>
          <w:p w:rsidR="002F3CE8" w:rsidRPr="009D1A57" w:rsidRDefault="00500C5D" w:rsidP="004656F2">
            <w:pPr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9D1A57">
              <w:rPr>
                <w:rFonts w:eastAsia="TimesNewRomanPSMT"/>
                <w:sz w:val="28"/>
                <w:szCs w:val="28"/>
                <w:lang w:val="uk-UA" w:eastAsia="en-US"/>
              </w:rPr>
              <w:t>Участь в роботі впродовж семестру – 50% від загальної оцінки. Екзамен: 50% від загальної оцінки. Екзамен усний згідно з переліком питань.</w:t>
            </w:r>
          </w:p>
        </w:tc>
      </w:tr>
      <w:tr w:rsidR="005B6078" w:rsidRPr="009D1A57">
        <w:tc>
          <w:tcPr>
            <w:tcW w:w="1898" w:type="dxa"/>
            <w:shd w:val="clear" w:color="auto" w:fill="auto"/>
          </w:tcPr>
          <w:p w:rsidR="005B6078" w:rsidRPr="009D1A57" w:rsidRDefault="005B6078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9D1A5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Умови допуску до підсумкового контролю </w:t>
            </w:r>
          </w:p>
        </w:tc>
        <w:tc>
          <w:tcPr>
            <w:tcW w:w="7447" w:type="dxa"/>
            <w:shd w:val="clear" w:color="auto" w:fill="auto"/>
          </w:tcPr>
          <w:p w:rsidR="005B6078" w:rsidRPr="009D1A57" w:rsidRDefault="005B6078" w:rsidP="004656F2">
            <w:pPr>
              <w:pStyle w:val="1"/>
              <w:widowControl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9D1A5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Обов’язкова присутність на лекційних заняттях. У разі пропуску 1/3 лекційних занять студент не допускається до підсумкового контролю. Активність впродовж семестру, відвідування і відпрацювання усіх семінарських занять </w:t>
            </w:r>
            <w:r w:rsidR="009D1A57" w:rsidRPr="009D1A5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обов’язково</w:t>
            </w:r>
            <w:r w:rsidRPr="009D1A5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. Відпрацювання семінарських занять (можливе шляхом виконання тесту) здійснюється протягом двох тижнів з моменту пропуску заняття або отримання незадовільної оцінки на занятті. </w:t>
            </w:r>
          </w:p>
        </w:tc>
      </w:tr>
      <w:tr w:rsidR="002F3CE8" w:rsidRPr="009D1A57">
        <w:tc>
          <w:tcPr>
            <w:tcW w:w="9345" w:type="dxa"/>
            <w:gridSpan w:val="2"/>
            <w:shd w:val="clear" w:color="auto" w:fill="auto"/>
          </w:tcPr>
          <w:p w:rsidR="002F3CE8" w:rsidRPr="009D1A57" w:rsidRDefault="002F3CE8" w:rsidP="004656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CE8" w:rsidRPr="009D1A57">
        <w:tc>
          <w:tcPr>
            <w:tcW w:w="9345" w:type="dxa"/>
            <w:gridSpan w:val="2"/>
            <w:shd w:val="clear" w:color="auto" w:fill="auto"/>
          </w:tcPr>
          <w:p w:rsidR="002F1792" w:rsidRPr="009D1A57" w:rsidRDefault="00070AD3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Організація </w:t>
            </w:r>
            <w:r w:rsidR="003C0A4F" w:rsidRPr="009D1A57">
              <w:rPr>
                <w:bCs/>
                <w:iCs/>
                <w:sz w:val="28"/>
                <w:szCs w:val="28"/>
                <w:lang w:val="uk-UA"/>
              </w:rPr>
              <w:t>викладанн</w:t>
            </w:r>
            <w:r>
              <w:rPr>
                <w:bCs/>
                <w:iCs/>
                <w:sz w:val="28"/>
                <w:szCs w:val="28"/>
                <w:lang w:val="uk-UA"/>
              </w:rPr>
              <w:t>я</w:t>
            </w:r>
            <w:r w:rsidR="003C0A4F" w:rsidRPr="009D1A57">
              <w:rPr>
                <w:bCs/>
                <w:iCs/>
                <w:sz w:val="28"/>
                <w:szCs w:val="28"/>
                <w:lang w:val="uk-UA"/>
              </w:rPr>
              <w:t xml:space="preserve"> навчальної дисципліни «</w:t>
            </w:r>
            <w:r w:rsidR="008F62A7" w:rsidRPr="009D1A57">
              <w:rPr>
                <w:bCs/>
                <w:iCs/>
                <w:sz w:val="28"/>
                <w:szCs w:val="28"/>
                <w:lang w:val="uk-UA"/>
              </w:rPr>
              <w:t>Міжнарод</w:t>
            </w:r>
            <w:r w:rsidR="003C0A4F" w:rsidRPr="009D1A57">
              <w:rPr>
                <w:bCs/>
                <w:iCs/>
                <w:sz w:val="28"/>
                <w:szCs w:val="28"/>
                <w:lang w:val="uk-UA"/>
              </w:rPr>
              <w:t xml:space="preserve">не кримінальне право» здійснюються на основі комплексного підходу з використанням таких методів навчання: лекції, семінарські заняття, </w:t>
            </w:r>
            <w:r w:rsidR="003C0A4F" w:rsidRPr="009D1A57">
              <w:rPr>
                <w:sz w:val="28"/>
                <w:szCs w:val="28"/>
                <w:lang w:val="uk-UA"/>
              </w:rPr>
              <w:lastRenderedPageBreak/>
              <w:t xml:space="preserve">семінари-дискусії, презентації-виступи, кейс-метод (метод </w:t>
            </w:r>
            <w:proofErr w:type="spellStart"/>
            <w:r w:rsidR="003C0A4F" w:rsidRPr="009D1A57">
              <w:rPr>
                <w:sz w:val="28"/>
                <w:szCs w:val="28"/>
                <w:lang w:val="uk-UA"/>
              </w:rPr>
              <w:t>case-study</w:t>
            </w:r>
            <w:proofErr w:type="spellEnd"/>
            <w:r w:rsidR="003C0A4F" w:rsidRPr="009D1A57">
              <w:rPr>
                <w:sz w:val="28"/>
                <w:szCs w:val="28"/>
                <w:lang w:val="uk-UA"/>
              </w:rPr>
              <w:t>),</w:t>
            </w:r>
            <w:r w:rsidR="003C0A4F" w:rsidRPr="009D1A57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3C0A4F" w:rsidRPr="009D1A57">
              <w:rPr>
                <w:sz w:val="28"/>
                <w:szCs w:val="28"/>
                <w:lang w:val="uk-UA"/>
              </w:rPr>
              <w:t>робота в малих групах,</w:t>
            </w:r>
            <w:r w:rsidR="003C0A4F" w:rsidRPr="009D1A57">
              <w:rPr>
                <w:bCs/>
                <w:iCs/>
                <w:sz w:val="28"/>
                <w:szCs w:val="28"/>
                <w:lang w:val="uk-UA"/>
              </w:rPr>
              <w:t xml:space="preserve"> самостійна робота, підготовка та захист доповідей</w:t>
            </w:r>
            <w:r w:rsidR="002F1792" w:rsidRPr="009D1A57"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  <w:p w:rsidR="003A2FF0" w:rsidRPr="009D1A57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9D1A5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Семінарські заняття:</w:t>
            </w:r>
            <w:r w:rsidRPr="009D1A57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23484F" w:rsidRPr="009D1A57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9D1A57">
              <w:rPr>
                <w:rFonts w:eastAsia="TimesNewRomanPSMT"/>
                <w:sz w:val="28"/>
                <w:szCs w:val="28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9D1A57" w:rsidRDefault="002F3CE8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9D1A5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Письмові роботи:</w:t>
            </w:r>
          </w:p>
          <w:p w:rsidR="003A2FF0" w:rsidRPr="009D1A57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9D1A57">
              <w:rPr>
                <w:rFonts w:eastAsia="TimesNewRomanPSMT"/>
                <w:sz w:val="28"/>
                <w:szCs w:val="28"/>
                <w:lang w:val="uk-UA" w:eastAsia="en-US"/>
              </w:rPr>
              <w:t>Планується виконання студентами пись</w:t>
            </w:r>
            <w:r w:rsidR="00CD1339" w:rsidRPr="009D1A57">
              <w:rPr>
                <w:rFonts w:eastAsia="TimesNewRomanPSMT"/>
                <w:sz w:val="28"/>
                <w:szCs w:val="28"/>
                <w:lang w:val="uk-UA" w:eastAsia="en-US"/>
              </w:rPr>
              <w:t>мових тестових завдань, експрес-опитувань за темами навчальної дисципліни</w:t>
            </w:r>
            <w:r w:rsidR="003A2FF0" w:rsidRPr="009D1A57">
              <w:rPr>
                <w:rFonts w:eastAsia="TimesNewRomanPSMT"/>
                <w:sz w:val="28"/>
                <w:szCs w:val="28"/>
                <w:lang w:val="uk-UA" w:eastAsia="en-US"/>
              </w:rPr>
              <w:t xml:space="preserve">. </w:t>
            </w:r>
            <w:r w:rsidR="003A2FF0"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Обсяг письмових робіт – до 500 слів. Письмові роботи повинні подаватись вчасно. Оцінюється якість та оригінальність наведених аргументів.</w:t>
            </w:r>
          </w:p>
          <w:p w:rsidR="002F3CE8" w:rsidRPr="009D1A57" w:rsidRDefault="002F3CE8" w:rsidP="004656F2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9D1A57" w:rsidRDefault="00D816B9" w:rsidP="004656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 письмовій роботі студента є підставою для її </w:t>
            </w:r>
            <w:proofErr w:type="spellStart"/>
            <w:r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незарахуванння</w:t>
            </w:r>
            <w:proofErr w:type="spellEnd"/>
            <w:r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9D1A57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9D1A5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Відвідування занять</w:t>
            </w:r>
            <w:r w:rsidR="003A2FF0" w:rsidRPr="009D1A5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 xml:space="preserve">: </w:t>
            </w:r>
          </w:p>
          <w:p w:rsidR="00AF4701" w:rsidRPr="009D1A57" w:rsidRDefault="00CD1339" w:rsidP="004656F2">
            <w:pPr>
              <w:ind w:firstLine="310"/>
              <w:jc w:val="both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9D1A57">
              <w:rPr>
                <w:rFonts w:eastAsia="TimesNewRomanPSMT"/>
                <w:sz w:val="28"/>
                <w:szCs w:val="28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Pr="009D1A57">
              <w:rPr>
                <w:sz w:val="28"/>
                <w:szCs w:val="28"/>
                <w:lang w:val="uk-UA"/>
              </w:rPr>
              <w:t>навчальної дисципліни</w:t>
            </w:r>
            <w:r w:rsidRPr="009D1A57">
              <w:rPr>
                <w:rFonts w:eastAsia="TimesNewRomanPSMT"/>
                <w:sz w:val="28"/>
                <w:szCs w:val="28"/>
                <w:lang w:val="uk-UA" w:eastAsia="en-US"/>
              </w:rPr>
              <w:t>.</w:t>
            </w:r>
            <w:r w:rsidR="00D816B9"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Студенти мають інформувати викладача про неможливість відвідати заняття та його причину. Пропуск студентом заняття не звільняє його від обов’язку виконати письмове завдання, чи виконати інші види завдань передбачені</w:t>
            </w:r>
            <w:r w:rsidR="005B6078"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програмою</w:t>
            </w:r>
            <w:r w:rsidR="00D816B9" w:rsidRPr="009D1A5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Студент, який пропустив заняття з поважних причин (хвороба, відрядження тощо) може відпрацювати пропущене заняття. Термін відпрацювання – протягом двох тижнів з моменту пропуску заняття. Студенти, які пропустили 1/3 аудиторних занять і не відпрацювали їх до кінця семестру, не </w:t>
            </w:r>
            <w:r w:rsidR="00543C25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допускають до складання іспиту.</w:t>
            </w:r>
          </w:p>
          <w:p w:rsidR="00AF4701" w:rsidRPr="009D1A57" w:rsidRDefault="00AF4701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</w:p>
        </w:tc>
      </w:tr>
      <w:tr w:rsidR="002F3CE8" w:rsidRPr="009D1A57">
        <w:tc>
          <w:tcPr>
            <w:tcW w:w="9345" w:type="dxa"/>
            <w:gridSpan w:val="2"/>
            <w:shd w:val="clear" w:color="auto" w:fill="auto"/>
          </w:tcPr>
          <w:p w:rsidR="008F62A7" w:rsidRPr="009D1A57" w:rsidRDefault="008F62A7" w:rsidP="008F62A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A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Критерії оцінювання</w:t>
            </w:r>
          </w:p>
          <w:p w:rsidR="008F62A7" w:rsidRPr="009D1A57" w:rsidRDefault="008F62A7" w:rsidP="008F62A7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2F3CE8" w:rsidRPr="009D1A57" w:rsidRDefault="002F3CE8" w:rsidP="008F62A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F3CE8" w:rsidRPr="009D1A57">
        <w:tc>
          <w:tcPr>
            <w:tcW w:w="9345" w:type="dxa"/>
            <w:gridSpan w:val="2"/>
            <w:shd w:val="clear" w:color="auto" w:fill="auto"/>
          </w:tcPr>
          <w:p w:rsidR="008F62A7" w:rsidRPr="009D1A57" w:rsidRDefault="008F62A7" w:rsidP="008F62A7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9D1A57">
              <w:rPr>
                <w:sz w:val="28"/>
                <w:szCs w:val="28"/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2F3CE8" w:rsidRPr="009D1A57" w:rsidRDefault="002F3CE8" w:rsidP="008F62A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470" w:rsidRPr="009D1A57" w:rsidRDefault="00EC6470" w:rsidP="00AF4701">
      <w:pPr>
        <w:jc w:val="both"/>
        <w:rPr>
          <w:sz w:val="28"/>
          <w:szCs w:val="28"/>
          <w:lang w:val="uk-UA"/>
        </w:rPr>
      </w:pPr>
    </w:p>
    <w:sectPr w:rsidR="00EC6470" w:rsidRPr="009D1A57" w:rsidSect="00E756F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A3E8B"/>
    <w:multiLevelType w:val="hybridMultilevel"/>
    <w:tmpl w:val="5BF88B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0D6A"/>
    <w:multiLevelType w:val="hybridMultilevel"/>
    <w:tmpl w:val="7DEAEC36"/>
    <w:lvl w:ilvl="0" w:tplc="85D49D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457C"/>
    <w:multiLevelType w:val="hybridMultilevel"/>
    <w:tmpl w:val="E7C04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1BE7B26"/>
    <w:multiLevelType w:val="hybridMultilevel"/>
    <w:tmpl w:val="AE360446"/>
    <w:lvl w:ilvl="0" w:tplc="757234A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D7402"/>
    <w:multiLevelType w:val="hybridMultilevel"/>
    <w:tmpl w:val="79A2D2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19E3"/>
    <w:multiLevelType w:val="hybridMultilevel"/>
    <w:tmpl w:val="78BAD224"/>
    <w:lvl w:ilvl="0" w:tplc="6528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A6F9C"/>
    <w:multiLevelType w:val="hybridMultilevel"/>
    <w:tmpl w:val="E466D1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242F3"/>
    <w:rsid w:val="00046829"/>
    <w:rsid w:val="0006422F"/>
    <w:rsid w:val="00070AD3"/>
    <w:rsid w:val="00070BC6"/>
    <w:rsid w:val="000C19C3"/>
    <w:rsid w:val="000D3FD4"/>
    <w:rsid w:val="00124860"/>
    <w:rsid w:val="001C183A"/>
    <w:rsid w:val="001E68BE"/>
    <w:rsid w:val="001F4FCD"/>
    <w:rsid w:val="0023484F"/>
    <w:rsid w:val="00242AB9"/>
    <w:rsid w:val="00243C54"/>
    <w:rsid w:val="00263BA9"/>
    <w:rsid w:val="00265BE7"/>
    <w:rsid w:val="002A68A0"/>
    <w:rsid w:val="002C5DD4"/>
    <w:rsid w:val="002F1792"/>
    <w:rsid w:val="002F3CE8"/>
    <w:rsid w:val="00376470"/>
    <w:rsid w:val="003A2FF0"/>
    <w:rsid w:val="003B6C3A"/>
    <w:rsid w:val="003C0A4F"/>
    <w:rsid w:val="003D5CF5"/>
    <w:rsid w:val="003F5E99"/>
    <w:rsid w:val="003F7AA4"/>
    <w:rsid w:val="00461C20"/>
    <w:rsid w:val="004656F2"/>
    <w:rsid w:val="004A70F8"/>
    <w:rsid w:val="00500C5D"/>
    <w:rsid w:val="00543C25"/>
    <w:rsid w:val="00547FBC"/>
    <w:rsid w:val="00594D0D"/>
    <w:rsid w:val="005B6078"/>
    <w:rsid w:val="00602B73"/>
    <w:rsid w:val="006A1DBE"/>
    <w:rsid w:val="00705845"/>
    <w:rsid w:val="00707BBB"/>
    <w:rsid w:val="00717F40"/>
    <w:rsid w:val="007D31DD"/>
    <w:rsid w:val="00803153"/>
    <w:rsid w:val="008059DF"/>
    <w:rsid w:val="00830195"/>
    <w:rsid w:val="00882427"/>
    <w:rsid w:val="00890975"/>
    <w:rsid w:val="008C7BDF"/>
    <w:rsid w:val="008F62A7"/>
    <w:rsid w:val="0090046F"/>
    <w:rsid w:val="00952A20"/>
    <w:rsid w:val="00972B57"/>
    <w:rsid w:val="009D1A57"/>
    <w:rsid w:val="009F3F42"/>
    <w:rsid w:val="00A0711D"/>
    <w:rsid w:val="00A07CD2"/>
    <w:rsid w:val="00A42BE2"/>
    <w:rsid w:val="00A54FB3"/>
    <w:rsid w:val="00A91D72"/>
    <w:rsid w:val="00A961F4"/>
    <w:rsid w:val="00AC69E9"/>
    <w:rsid w:val="00AD46F1"/>
    <w:rsid w:val="00AF4701"/>
    <w:rsid w:val="00B35A0A"/>
    <w:rsid w:val="00B55E81"/>
    <w:rsid w:val="00BB7417"/>
    <w:rsid w:val="00C0202A"/>
    <w:rsid w:val="00C43E43"/>
    <w:rsid w:val="00C74161"/>
    <w:rsid w:val="00CD1339"/>
    <w:rsid w:val="00D244A1"/>
    <w:rsid w:val="00D816B9"/>
    <w:rsid w:val="00E756F0"/>
    <w:rsid w:val="00E86462"/>
    <w:rsid w:val="00EC6470"/>
    <w:rsid w:val="00F01EE7"/>
    <w:rsid w:val="00F232F6"/>
    <w:rsid w:val="00FD051E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3530EBE"/>
  <w15:chartTrackingRefBased/>
  <w15:docId w15:val="{9528498E-951E-4353-973E-F5297BE9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iPriority w:val="99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ntcorrected">
    <w:name w:val="variant corrected"/>
    <w:rsid w:val="00F01EE7"/>
  </w:style>
  <w:style w:type="character" w:customStyle="1" w:styleId="variant1">
    <w:name w:val="variant1"/>
    <w:rsid w:val="00602B73"/>
    <w:rPr>
      <w:color w:val="0000FF"/>
    </w:rPr>
  </w:style>
  <w:style w:type="paragraph" w:styleId="ab">
    <w:name w:val="footnote text"/>
    <w:aliases w:val="Текст сноски Знак Знак,Текст сноски Знак Знак Знак Знак,Текст сноски Знак Знак Знак1,Текст сноски Знак Знак1,Знак,Знак2"/>
    <w:basedOn w:val="a"/>
    <w:link w:val="ac"/>
    <w:uiPriority w:val="99"/>
    <w:rsid w:val="00830195"/>
    <w:rPr>
      <w:rFonts w:ascii="Calibri" w:eastAsia="SimSun" w:hAnsi="Calibri"/>
      <w:sz w:val="20"/>
      <w:szCs w:val="20"/>
    </w:rPr>
  </w:style>
  <w:style w:type="character" w:customStyle="1" w:styleId="ac">
    <w:name w:val="Текст сноски Знак"/>
    <w:aliases w:val="Текст сноски Знак Знак Знак,Текст сноски Знак Знак Знак Знак Знак,Текст сноски Знак Знак Знак1 Знак,Текст сноски Знак Знак1 Знак,Знак Знак,Знак2 Знак"/>
    <w:link w:val="ab"/>
    <w:uiPriority w:val="99"/>
    <w:rsid w:val="00830195"/>
    <w:rPr>
      <w:rFonts w:eastAsia="SimSun"/>
      <w:lang w:val="ru-RU" w:eastAsia="ru-RU"/>
    </w:rPr>
  </w:style>
  <w:style w:type="character" w:styleId="ad">
    <w:name w:val="Emphasis"/>
    <w:uiPriority w:val="20"/>
    <w:qFormat/>
    <w:rsid w:val="0006422F"/>
    <w:rPr>
      <w:rFonts w:cs="Times New Roman"/>
      <w:i/>
      <w:iCs/>
    </w:rPr>
  </w:style>
  <w:style w:type="character" w:customStyle="1" w:styleId="105pt">
    <w:name w:val="Основной текст + 10;5 pt;Полужирный"/>
    <w:rsid w:val="0006422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4400</Words>
  <Characters>2509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АДВОКАТУРИ УКРАЇНИ</vt:lpstr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</dc:title>
  <dc:subject/>
  <dc:creator>Користувач Windows</dc:creator>
  <cp:keywords/>
  <cp:lastModifiedBy>Гончаренко С.В.</cp:lastModifiedBy>
  <cp:revision>2</cp:revision>
  <dcterms:created xsi:type="dcterms:W3CDTF">2020-02-12T13:45:00Z</dcterms:created>
  <dcterms:modified xsi:type="dcterms:W3CDTF">2020-02-12T13:45:00Z</dcterms:modified>
</cp:coreProperties>
</file>